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hint="default" w:eastAsiaTheme="minorEastAsia"/>
          <w:b/>
          <w:sz w:val="24"/>
          <w:lang w:val="en-US" w:eastAsia="zh-CN"/>
        </w:rPr>
      </w:pPr>
      <w:r>
        <w:rPr>
          <w:rFonts w:eastAsiaTheme="minorEastAsia"/>
          <w:b/>
          <w:sz w:val="24"/>
          <w:lang w:eastAsia="zh-CN"/>
        </w:rPr>
        <w:t>3GPP TSG-RAN WG2 Meeting #12</w:t>
      </w:r>
      <w:r>
        <w:rPr>
          <w:rFonts w:hint="eastAsia" w:eastAsiaTheme="minorEastAsia"/>
          <w:b/>
          <w:sz w:val="24"/>
          <w:lang w:val="en-US" w:eastAsia="zh-CN"/>
        </w:rPr>
        <w:t>3bis</w:t>
      </w:r>
      <w:r>
        <w:rPr>
          <w:rFonts w:eastAsiaTheme="minorEastAsia"/>
          <w:b/>
          <w:sz w:val="24"/>
          <w:lang w:eastAsia="zh-CN"/>
        </w:rPr>
        <w:t xml:space="preserve"> </w:t>
      </w:r>
      <w:r>
        <w:rPr>
          <w:rFonts w:hint="eastAsia" w:eastAsiaTheme="minorEastAsia"/>
          <w:b/>
          <w:sz w:val="24"/>
          <w:lang w:eastAsia="zh-CN"/>
        </w:rPr>
        <w:t xml:space="preserve">                     </w:t>
      </w:r>
      <w:r>
        <w:rPr>
          <w:rFonts w:eastAsiaTheme="minorEastAsia"/>
          <w:b/>
          <w:sz w:val="24"/>
          <w:lang w:eastAsia="zh-CN"/>
        </w:rPr>
        <w:tab/>
      </w:r>
      <w:r>
        <w:rPr>
          <w:rFonts w:eastAsiaTheme="minorEastAsia"/>
          <w:b/>
          <w:sz w:val="24"/>
          <w:lang w:eastAsia="zh-CN"/>
        </w:rPr>
        <w:t xml:space="preserve">           </w:t>
      </w:r>
      <w:r>
        <w:rPr>
          <w:rFonts w:hint="eastAsia" w:eastAsiaTheme="minorEastAsia"/>
          <w:b/>
          <w:sz w:val="24"/>
          <w:lang w:eastAsia="zh-CN"/>
        </w:rPr>
        <w:t xml:space="preserve">                        R2</w:t>
      </w:r>
      <w:r>
        <w:rPr>
          <w:rFonts w:hint="eastAsia" w:eastAsiaTheme="minorEastAsia"/>
          <w:b/>
          <w:sz w:val="24"/>
          <w:lang w:val="en-US" w:eastAsia="zh-CN"/>
        </w:rPr>
        <w:t>-2310255</w:t>
      </w:r>
    </w:p>
    <w:p>
      <w:pPr>
        <w:pStyle w:val="28"/>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Xiamen, China, October 9th – 13th, 2023</w:t>
      </w:r>
      <w:bookmarkStart w:id="8" w:name="_GoBack"/>
      <w:bookmarkEnd w:id="8"/>
    </w:p>
    <w:p>
      <w:pPr>
        <w:pStyle w:val="28"/>
        <w:rPr>
          <w:rFonts w:eastAsiaTheme="minorEastAsia"/>
          <w:sz w:val="24"/>
          <w:lang w:eastAsia="zh-CN"/>
        </w:rPr>
      </w:pPr>
    </w:p>
    <w:p>
      <w:pPr>
        <w:tabs>
          <w:tab w:val="left" w:pos="1985"/>
        </w:tabs>
        <w:ind w:left="1985" w:hanging="1985"/>
        <w:rPr>
          <w:rFonts w:cs="Arial"/>
          <w:b/>
          <w:bCs/>
          <w:sz w:val="24"/>
          <w:lang w:eastAsia="zh-CN"/>
        </w:rPr>
      </w:pPr>
      <w:r>
        <w:rPr>
          <w:rFonts w:cs="Arial"/>
          <w:b/>
          <w:bCs/>
          <w:sz w:val="24"/>
          <w:lang w:eastAsia="zh-CN"/>
        </w:rPr>
        <w:t>Agenda</w:t>
      </w:r>
      <w:r>
        <w:rPr>
          <w:rFonts w:hint="eastAsia" w:cs="Arial"/>
          <w:b/>
          <w:bCs/>
          <w:sz w:val="24"/>
          <w:lang w:eastAsia="zh-CN"/>
        </w:rPr>
        <w:t xml:space="preserve"> I</w:t>
      </w:r>
      <w:r>
        <w:rPr>
          <w:rFonts w:cs="Arial"/>
          <w:b/>
          <w:bCs/>
          <w:sz w:val="24"/>
          <w:lang w:eastAsia="zh-CN"/>
        </w:rPr>
        <w:t>tem:</w:t>
      </w:r>
      <w:r>
        <w:rPr>
          <w:rFonts w:cs="Arial"/>
          <w:b/>
          <w:bCs/>
          <w:sz w:val="24"/>
          <w:lang w:eastAsia="zh-CN"/>
        </w:rPr>
        <w:tab/>
      </w:r>
      <w:r>
        <w:rPr>
          <w:rFonts w:hint="eastAsia" w:cs="Arial"/>
          <w:b/>
          <w:bCs/>
          <w:sz w:val="24"/>
          <w:lang w:eastAsia="zh-CN"/>
        </w:rPr>
        <w:t>7</w:t>
      </w:r>
      <w:r>
        <w:rPr>
          <w:rFonts w:cs="Arial"/>
          <w:b/>
          <w:bCs/>
          <w:sz w:val="24"/>
          <w:lang w:eastAsia="zh-CN"/>
        </w:rPr>
        <w:t>.5.3</w:t>
      </w:r>
    </w:p>
    <w:p>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r>
        <w:rPr>
          <w:rFonts w:hint="eastAsia" w:cs="Arial"/>
          <w:b/>
          <w:bCs/>
          <w:sz w:val="24"/>
          <w:lang w:eastAsia="zh-CN"/>
        </w:rPr>
        <w:t>the DRX enhancement</w:t>
      </w:r>
    </w:p>
    <w:p>
      <w:pPr>
        <w:rPr>
          <w:rFonts w:eastAsiaTheme="minorEastAsia"/>
          <w:b/>
          <w:sz w:val="24"/>
          <w:lang w:eastAsia="zh-CN"/>
        </w:rPr>
      </w:pPr>
      <w:r>
        <w:rPr>
          <w:rFonts w:eastAsiaTheme="minorEastAsia"/>
          <w:b/>
          <w:sz w:val="24"/>
          <w:lang w:eastAsia="zh-CN"/>
        </w:rPr>
        <w:t>WID/SID:</w:t>
      </w:r>
      <w:r>
        <w:rPr>
          <w:rFonts w:eastAsiaTheme="minorEastAsia"/>
          <w:b/>
          <w:sz w:val="24"/>
          <w:lang w:eastAsia="zh-CN"/>
        </w:rPr>
        <w:tab/>
      </w:r>
      <w:r>
        <w:rPr>
          <w:rFonts w:hint="eastAsia" w:eastAsiaTheme="minorEastAsia"/>
          <w:b/>
          <w:sz w:val="24"/>
          <w:lang w:eastAsia="zh-CN"/>
        </w:rPr>
        <w:t xml:space="preserve">             </w:t>
      </w:r>
      <w:r>
        <w:rPr>
          <w:rFonts w:cs="Arial"/>
          <w:b/>
          <w:bCs/>
          <w:sz w:val="24"/>
          <w:lang w:eastAsia="zh-CN"/>
        </w:rPr>
        <w:t>NR_XR_enh-Core</w:t>
      </w:r>
    </w:p>
    <w:bookmarkEnd w:id="0"/>
    <w:bookmarkEnd w:id="1"/>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pPr>
        <w:pStyle w:val="2"/>
      </w:pPr>
      <w:r>
        <w:t>Introduction</w:t>
      </w:r>
    </w:p>
    <w:p>
      <w:pPr>
        <w:rPr>
          <w:rFonts w:ascii="Times New Roman" w:hAnsi="Times New Roman" w:eastAsia="宋体"/>
          <w:lang w:eastAsia="zh-CN"/>
        </w:rPr>
      </w:pPr>
      <w:r>
        <w:rPr>
          <w:rFonts w:ascii="Times New Roman" w:hAnsi="Times New Roman" w:eastAsia="宋体"/>
          <w:lang w:eastAsia="zh-CN"/>
        </w:rPr>
        <w:t>In the RAN</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12</w:t>
      </w:r>
      <w:r>
        <w:rPr>
          <w:rFonts w:hint="eastAsia" w:ascii="Times New Roman" w:hAnsi="Times New Roman" w:eastAsia="宋体"/>
          <w:lang w:val="en-US" w:eastAsia="zh-CN"/>
        </w:rPr>
        <w:t>3bis</w:t>
      </w:r>
      <w:r>
        <w:rPr>
          <w:rFonts w:ascii="Times New Roman" w:hAnsi="Times New Roman" w:eastAsia="宋体"/>
          <w:lang w:eastAsia="zh-CN"/>
        </w:rPr>
        <w:t xml:space="preserve"> meeting, </w:t>
      </w:r>
      <w:r>
        <w:rPr>
          <w:rFonts w:hint="eastAsia" w:ascii="Times New Roman" w:hAnsi="Times New Roman" w:eastAsia="宋体"/>
          <w:lang w:eastAsia="zh-CN"/>
        </w:rPr>
        <w:t xml:space="preserve">the XR-specific power saving issue </w:t>
      </w:r>
      <w:r>
        <w:rPr>
          <w:rFonts w:ascii="Times New Roman" w:hAnsi="Times New Roman" w:eastAsia="宋体"/>
          <w:lang w:eastAsia="zh-CN"/>
        </w:rPr>
        <w:t>ha</w:t>
      </w:r>
      <w:r>
        <w:rPr>
          <w:rFonts w:hint="eastAsia" w:ascii="Times New Roman" w:hAnsi="Times New Roman" w:eastAsia="宋体"/>
          <w:lang w:eastAsia="zh-CN"/>
        </w:rPr>
        <w:t>s been discussed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86"/>
              <w:overflowPunct/>
              <w:autoSpaceDE/>
              <w:autoSpaceDN/>
              <w:adjustRightInd/>
              <w:ind w:left="1619" w:hanging="360"/>
              <w:textAlignment w:val="auto"/>
            </w:pPr>
            <w:r>
              <w:t xml:space="preserve">The maximum value of the counter (NSFN) is 2^16 = 65536. </w:t>
            </w:r>
          </w:p>
          <w:p>
            <w:pPr>
              <w:pStyle w:val="86"/>
              <w:overflowPunct/>
              <w:autoSpaceDE/>
              <w:autoSpaceDN/>
              <w:adjustRightInd/>
              <w:ind w:left="1619" w:hanging="360"/>
              <w:textAlignment w:val="auto"/>
            </w:pPr>
            <w:r>
              <w:t xml:space="preserve">8. </w:t>
            </w:r>
            <w:r>
              <w:tab/>
            </w:r>
            <w:r>
              <w:t>Network sets DRX reference SFN (drx-ReferenceSFN) to either 0 or 512, in the same way as in Rel-16 IIoT.</w:t>
            </w:r>
          </w:p>
          <w:p>
            <w:pPr>
              <w:pStyle w:val="86"/>
              <w:overflowPunct/>
              <w:autoSpaceDE/>
              <w:autoSpaceDN/>
              <w:adjustRightInd/>
              <w:ind w:left="1619" w:hanging="360"/>
              <w:textAlignment w:val="auto"/>
            </w:pPr>
            <w:r>
              <w:t xml:space="preserve">9. </w:t>
            </w:r>
            <w:r>
              <w:tab/>
            </w:r>
            <w:r>
              <w:t xml:space="preserve">Use the following option (option A): both the counter NSFN and the DRX reference SFN drx-ReferenceSFN are added to the DRX formula. NSFN is initialized to 0. </w:t>
            </w:r>
          </w:p>
          <w:p>
            <w:pPr>
              <w:pStyle w:val="86"/>
              <w:overflowPunct/>
              <w:autoSpaceDE/>
              <w:autoSpaceDN/>
              <w:adjustRightInd/>
              <w:ind w:left="1619" w:hanging="360"/>
              <w:textAlignment w:val="auto"/>
            </w:pPr>
            <w:r>
              <w:t xml:space="preserve">The maximum value of the counter (NSFN) is 2^16 – 1 = 65535. </w:t>
            </w:r>
          </w:p>
        </w:tc>
      </w:tr>
    </w:tbl>
    <w:p>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Therefore, we provide our views on the DRX</w:t>
      </w:r>
      <w:r>
        <w:rPr>
          <w:rFonts w:ascii="Times New Roman" w:hAnsi="Times New Roman" w:eastAsia="宋体"/>
          <w:lang w:eastAsia="zh-CN"/>
        </w:rPr>
        <w:t xml:space="preserve"> </w:t>
      </w:r>
      <w:r>
        <w:rPr>
          <w:rFonts w:hint="eastAsia" w:ascii="Times New Roman" w:hAnsi="Times New Roman" w:eastAsia="宋体"/>
          <w:lang w:eastAsia="zh-CN"/>
        </w:rPr>
        <w:t>enhancements for XR in this document.</w:t>
      </w:r>
    </w:p>
    <w:p>
      <w:pPr>
        <w:pStyle w:val="2"/>
        <w:rPr>
          <w:lang w:eastAsia="zh-CN"/>
        </w:rPr>
      </w:pPr>
      <w:r>
        <w:rPr>
          <w:lang w:eastAsia="zh-CN"/>
        </w:rPr>
        <w:t>Discussion</w:t>
      </w:r>
    </w:p>
    <w:p>
      <w:pPr>
        <w:pStyle w:val="3"/>
        <w:keepNext/>
        <w:keepLines/>
        <w:widowControl/>
        <w:numPr>
          <w:ilvl w:val="1"/>
          <w:numId w:val="3"/>
        </w:numPr>
        <w:ind w:right="200" w:rightChars="100"/>
        <w:rPr>
          <w:rFonts w:hint="default" w:cs="Times New Roman"/>
          <w:sz w:val="28"/>
          <w:lang w:val="en-US" w:eastAsia="zh-CN"/>
        </w:rPr>
      </w:pPr>
      <w:bookmarkStart w:id="2" w:name="_Hlk110416859"/>
      <w:r>
        <w:rPr>
          <w:rFonts w:hint="eastAsia" w:cs="Times New Roman"/>
          <w:sz w:val="28"/>
          <w:lang w:val="en-US" w:eastAsia="zh-CN"/>
        </w:rPr>
        <w:t xml:space="preserve"> Definition of DRX formula </w:t>
      </w:r>
    </w:p>
    <w:p>
      <w:pPr>
        <w:numPr>
          <w:ilvl w:val="0"/>
          <w:numId w:val="0"/>
        </w:numPr>
        <w:spacing w:before="120"/>
        <w:ind w:leftChars="0"/>
        <w:rPr>
          <w:rFonts w:hint="default" w:ascii="Times New Roman" w:hAnsi="Times New Roman" w:eastAsia="宋体"/>
          <w:lang w:val="en-US" w:eastAsia="zh-CN"/>
        </w:rPr>
      </w:pPr>
      <w:r>
        <w:rPr>
          <w:rFonts w:hint="eastAsia" w:ascii="Times New Roman" w:hAnsi="Times New Roman" w:eastAsia="宋体"/>
          <w:lang w:val="en-US" w:eastAsia="zh-CN"/>
        </w:rPr>
        <w:t>In [1], the suggested formula used for the Short DRX cycle and the Long DRX cycle was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80"/>
              <w:ind w:left="568" w:hanging="284"/>
              <w:textAlignment w:val="baseline"/>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1&gt;</w:t>
            </w:r>
            <w:r>
              <w:rPr>
                <w:rFonts w:ascii="Times New Roman" w:hAnsi="Times New Roman" w:eastAsia="Times New Roman" w:cs="Times New Roman"/>
                <w:sz w:val="20"/>
                <w:szCs w:val="20"/>
                <w:lang w:val="en-GB" w:eastAsia="ja-JP"/>
              </w:rPr>
              <w:tab/>
            </w:r>
            <w:r>
              <w:rPr>
                <w:rFonts w:ascii="Times New Roman" w:hAnsi="Times New Roman" w:eastAsia="Times New Roman" w:cs="Times New Roman"/>
                <w:sz w:val="20"/>
                <w:szCs w:val="20"/>
                <w:lang w:val="en-GB" w:eastAsia="ja-JP"/>
              </w:rPr>
              <w:t>if the Short DRX cycle is used for a DRX group, and</w:t>
            </w:r>
            <w:r>
              <w:rPr>
                <w:rFonts w:ascii="Times New Roman" w:hAnsi="Times New Roman" w:eastAsia="Times New Roman" w:cs="Times New Roman"/>
                <w:sz w:val="20"/>
                <w:szCs w:val="20"/>
                <w:lang w:val="en-GB" w:eastAsia="ko-KR"/>
              </w:rPr>
              <w:t xml:space="preserve"> </w:t>
            </w:r>
            <w:r>
              <w:rPr>
                <w:rFonts w:ascii="Times New Roman" w:hAnsi="Times New Roman" w:eastAsia="Times New Roman" w:cs="Times New Roman"/>
                <w:color w:val="C00000"/>
                <w:sz w:val="20"/>
                <w:szCs w:val="20"/>
                <w:lang w:val="en-GB" w:eastAsia="ko-KR"/>
              </w:rPr>
              <w:t>floor (</w:t>
            </w:r>
            <w:r>
              <w:rPr>
                <w:rFonts w:ascii="Times New Roman" w:hAnsi="Times New Roman" w:eastAsia="Times New Roman" w:cs="Times New Roman"/>
                <w:sz w:val="20"/>
                <w:szCs w:val="20"/>
                <w:lang w:val="en-GB" w:eastAsia="ja-JP"/>
              </w:rPr>
              <w:t>[(SFN × 10) + subframe number] modulo (</w:t>
            </w:r>
            <w:r>
              <w:rPr>
                <w:rFonts w:ascii="Times New Roman" w:hAnsi="Times New Roman" w:eastAsia="Times New Roman" w:cs="Times New Roman"/>
                <w:i/>
                <w:sz w:val="20"/>
                <w:szCs w:val="20"/>
                <w:lang w:val="en-GB" w:eastAsia="ja-JP"/>
              </w:rPr>
              <w:t>drx-ShortCycle</w:t>
            </w:r>
            <w:r>
              <w:rPr>
                <w:rFonts w:ascii="Times New Roman" w:hAnsi="Times New Roman" w:eastAsia="Times New Roman" w:cs="Times New Roman"/>
                <w:sz w:val="20"/>
                <w:szCs w:val="20"/>
                <w:lang w:val="en-GB" w:eastAsia="ja-JP"/>
              </w:rPr>
              <w:t>)</w:t>
            </w:r>
            <w:r>
              <w:rPr>
                <w:rFonts w:ascii="Times New Roman" w:hAnsi="Times New Roman" w:eastAsia="Times New Roman" w:cs="Times New Roman"/>
                <w:color w:val="C00000"/>
                <w:sz w:val="20"/>
                <w:szCs w:val="20"/>
                <w:lang w:val="en-GB" w:eastAsia="ja-JP"/>
              </w:rPr>
              <w:t>)</w:t>
            </w:r>
            <w:r>
              <w:rPr>
                <w:rFonts w:ascii="Times New Roman" w:hAnsi="Times New Roman" w:eastAsia="Times New Roman" w:cs="Times New Roman"/>
                <w:sz w:val="20"/>
                <w:szCs w:val="20"/>
                <w:lang w:val="en-GB" w:eastAsia="ja-JP"/>
              </w:rPr>
              <w:t xml:space="preserve"> = </w:t>
            </w:r>
            <w:r>
              <w:rPr>
                <w:rFonts w:ascii="Times New Roman" w:hAnsi="Times New Roman" w:eastAsia="Times New Roman" w:cs="Times New Roman"/>
                <w:color w:val="C00000"/>
                <w:sz w:val="20"/>
                <w:szCs w:val="20"/>
                <w:lang w:val="en-GB" w:eastAsia="ja-JP"/>
              </w:rPr>
              <w:t>floor (</w:t>
            </w:r>
            <w:r>
              <w:rPr>
                <w:rFonts w:ascii="Times New Roman" w:hAnsi="Times New Roman" w:eastAsia="Times New Roman" w:cs="Times New Roman"/>
                <w:sz w:val="20"/>
                <w:szCs w:val="20"/>
                <w:lang w:val="en-GB" w:eastAsia="ja-JP"/>
              </w:rPr>
              <w:t>(</w:t>
            </w:r>
            <w:r>
              <w:rPr>
                <w:rFonts w:ascii="Times New Roman" w:hAnsi="Times New Roman" w:eastAsia="Times New Roman" w:cs="Times New Roman"/>
                <w:i/>
                <w:sz w:val="20"/>
                <w:szCs w:val="20"/>
                <w:lang w:val="en-GB" w:eastAsia="ja-JP"/>
              </w:rPr>
              <w:t>drx-StartOffset</w:t>
            </w:r>
            <w:r>
              <w:rPr>
                <w:rFonts w:ascii="Times New Roman" w:hAnsi="Times New Roman" w:eastAsia="Times New Roman" w:cs="Times New Roman"/>
                <w:sz w:val="20"/>
                <w:szCs w:val="20"/>
                <w:lang w:val="en-GB" w:eastAsia="ja-JP"/>
              </w:rPr>
              <w:t>) modulo (</w:t>
            </w:r>
            <w:r>
              <w:rPr>
                <w:rFonts w:ascii="Times New Roman" w:hAnsi="Times New Roman" w:eastAsia="Times New Roman" w:cs="Times New Roman"/>
                <w:i/>
                <w:sz w:val="20"/>
                <w:szCs w:val="20"/>
                <w:lang w:val="en-GB" w:eastAsia="ja-JP"/>
              </w:rPr>
              <w:t>drx-ShortCycle</w:t>
            </w:r>
            <w:r>
              <w:rPr>
                <w:rFonts w:ascii="Times New Roman" w:hAnsi="Times New Roman" w:eastAsia="Times New Roman" w:cs="Times New Roman"/>
                <w:sz w:val="20"/>
                <w:szCs w:val="20"/>
                <w:lang w:val="en-GB" w:eastAsia="ja-JP"/>
              </w:rPr>
              <w:t>)</w:t>
            </w:r>
            <w:r>
              <w:rPr>
                <w:rFonts w:ascii="Times New Roman" w:hAnsi="Times New Roman" w:eastAsia="Times New Roman" w:cs="Times New Roman"/>
                <w:color w:val="C00000"/>
                <w:sz w:val="20"/>
                <w:szCs w:val="20"/>
                <w:lang w:val="en-GB" w:eastAsia="ja-JP"/>
              </w:rPr>
              <w:t>)</w:t>
            </w:r>
            <w:r>
              <w:rPr>
                <w:rFonts w:ascii="Times New Roman" w:hAnsi="Times New Roman" w:eastAsia="Times New Roman" w:cs="Times New Roman"/>
                <w:sz w:val="20"/>
                <w:szCs w:val="20"/>
                <w:lang w:val="en-GB" w:eastAsia="ja-JP"/>
              </w:rPr>
              <w:t>:</w:t>
            </w:r>
          </w:p>
          <w:p>
            <w:pPr>
              <w:overflowPunct w:val="0"/>
              <w:autoSpaceDE w:val="0"/>
              <w:autoSpaceDN w:val="0"/>
              <w:adjustRightInd w:val="0"/>
              <w:spacing w:before="0" w:after="180"/>
              <w:ind w:left="851" w:hanging="284"/>
              <w:textAlignment w:val="baseline"/>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ko-KR"/>
              </w:rPr>
              <w:t>2&gt;</w:t>
            </w:r>
            <w:r>
              <w:rPr>
                <w:rFonts w:ascii="Times New Roman" w:hAnsi="Times New Roman" w:eastAsia="Times New Roman" w:cs="Times New Roman"/>
                <w:sz w:val="20"/>
                <w:szCs w:val="20"/>
                <w:lang w:val="en-GB" w:eastAsia="ja-JP"/>
              </w:rPr>
              <w:tab/>
            </w:r>
            <w:r>
              <w:rPr>
                <w:rFonts w:ascii="Times New Roman" w:hAnsi="Times New Roman" w:eastAsia="Times New Roman" w:cs="Times New Roman"/>
                <w:sz w:val="20"/>
                <w:szCs w:val="20"/>
                <w:lang w:val="en-GB" w:eastAsia="ja-JP"/>
              </w:rPr>
              <w:t xml:space="preserve">start </w:t>
            </w:r>
            <w:r>
              <w:rPr>
                <w:rFonts w:ascii="Times New Roman" w:hAnsi="Times New Roman" w:eastAsia="Times New Roman" w:cs="Times New Roman"/>
                <w:i/>
                <w:sz w:val="20"/>
                <w:szCs w:val="20"/>
                <w:lang w:val="en-GB" w:eastAsia="ja-JP"/>
              </w:rPr>
              <w:t>drx-onDurationTimer</w:t>
            </w:r>
            <w:r>
              <w:rPr>
                <w:rFonts w:ascii="Times New Roman" w:hAnsi="Times New Roman" w:eastAsia="Times New Roman" w:cs="Times New Roman"/>
                <w:sz w:val="20"/>
                <w:szCs w:val="20"/>
                <w:lang w:val="en-GB" w:eastAsia="ko-KR"/>
              </w:rPr>
              <w:t xml:space="preserve"> </w:t>
            </w:r>
            <w:r>
              <w:rPr>
                <w:rFonts w:ascii="Times New Roman" w:hAnsi="Times New Roman" w:eastAsia="Times New Roman" w:cs="Times New Roman"/>
                <w:sz w:val="20"/>
                <w:szCs w:val="20"/>
                <w:lang w:val="en-GB" w:eastAsia="ja-JP"/>
              </w:rPr>
              <w:t>for this DRX group</w:t>
            </w:r>
            <w:r>
              <w:rPr>
                <w:rFonts w:ascii="Times New Roman" w:hAnsi="Times New Roman" w:eastAsia="Times New Roman" w:cs="Times New Roman"/>
                <w:sz w:val="20"/>
                <w:szCs w:val="20"/>
                <w:lang w:val="en-GB" w:eastAsia="ko-KR"/>
              </w:rPr>
              <w:t xml:space="preserve"> after </w:t>
            </w:r>
            <w:r>
              <w:rPr>
                <w:rFonts w:ascii="Times New Roman" w:hAnsi="Times New Roman" w:eastAsia="Times New Roman" w:cs="Times New Roman"/>
                <w:i/>
                <w:sz w:val="20"/>
                <w:szCs w:val="20"/>
                <w:lang w:val="en-GB" w:eastAsia="ko-KR"/>
              </w:rPr>
              <w:t>drx-SlotOffset</w:t>
            </w:r>
            <w:r>
              <w:rPr>
                <w:rFonts w:ascii="Times New Roman" w:hAnsi="Times New Roman" w:eastAsia="Times New Roman" w:cs="Times New Roman"/>
                <w:sz w:val="20"/>
                <w:szCs w:val="20"/>
                <w:lang w:val="en-GB" w:eastAsia="ko-KR"/>
              </w:rPr>
              <w:t xml:space="preserve"> from the beginning of the subframe.</w:t>
            </w:r>
          </w:p>
          <w:p>
            <w:pPr>
              <w:overflowPunct w:val="0"/>
              <w:autoSpaceDE w:val="0"/>
              <w:autoSpaceDN w:val="0"/>
              <w:adjustRightInd w:val="0"/>
              <w:spacing w:before="0" w:after="180"/>
              <w:ind w:left="568" w:hanging="284"/>
              <w:textAlignment w:val="baseline"/>
              <w:rPr>
                <w:rFonts w:hint="default" w:ascii="Times New Roman" w:hAnsi="Times New Roman" w:eastAsia="宋体"/>
                <w:vertAlign w:val="baseline"/>
                <w:lang w:val="en-US" w:eastAsia="zh-CN"/>
              </w:rPr>
            </w:pPr>
            <w:r>
              <w:rPr>
                <w:rFonts w:ascii="Times New Roman" w:hAnsi="Times New Roman" w:eastAsia="Times New Roman" w:cs="Times New Roman"/>
                <w:sz w:val="20"/>
                <w:szCs w:val="20"/>
                <w:lang w:val="en-GB" w:eastAsia="ja-JP"/>
              </w:rPr>
              <w:t>1&gt;</w:t>
            </w:r>
            <w:r>
              <w:rPr>
                <w:rFonts w:ascii="Times New Roman" w:hAnsi="Times New Roman" w:eastAsia="Times New Roman" w:cs="Times New Roman"/>
                <w:sz w:val="20"/>
                <w:szCs w:val="20"/>
                <w:lang w:val="en-GB" w:eastAsia="ja-JP"/>
              </w:rPr>
              <w:tab/>
            </w:r>
            <w:r>
              <w:rPr>
                <w:rFonts w:ascii="Times New Roman" w:hAnsi="Times New Roman" w:eastAsia="Times New Roman" w:cs="Times New Roman"/>
                <w:sz w:val="20"/>
                <w:szCs w:val="20"/>
                <w:lang w:val="en-GB" w:eastAsia="ja-JP"/>
              </w:rPr>
              <w:t>if the Long DRX cycle is used for a DRX group, and</w:t>
            </w:r>
            <w:r>
              <w:rPr>
                <w:rFonts w:ascii="Times New Roman" w:hAnsi="Times New Roman" w:eastAsia="Times New Roman" w:cs="Times New Roman"/>
                <w:sz w:val="20"/>
                <w:szCs w:val="20"/>
                <w:lang w:val="en-GB" w:eastAsia="ko-KR"/>
              </w:rPr>
              <w:t xml:space="preserve"> </w:t>
            </w:r>
            <w:r>
              <w:rPr>
                <w:rFonts w:ascii="Times New Roman" w:hAnsi="Times New Roman" w:eastAsia="Times New Roman" w:cs="Times New Roman"/>
                <w:color w:val="C00000"/>
                <w:sz w:val="20"/>
                <w:szCs w:val="20"/>
                <w:lang w:val="en-GB" w:eastAsia="ko-KR"/>
              </w:rPr>
              <w:t>floor (</w:t>
            </w:r>
            <w:r>
              <w:rPr>
                <w:rFonts w:ascii="Times New Roman" w:hAnsi="Times New Roman" w:eastAsia="Times New Roman" w:cs="Times New Roman"/>
                <w:sz w:val="20"/>
                <w:szCs w:val="20"/>
                <w:lang w:val="en-GB" w:eastAsia="ko-KR"/>
              </w:rPr>
              <w:t>[(SFN × 10) + subframe number] modulo (</w:t>
            </w:r>
            <w:r>
              <w:rPr>
                <w:rFonts w:ascii="Times New Roman" w:hAnsi="Times New Roman" w:eastAsia="Times New Roman" w:cs="Times New Roman"/>
                <w:i/>
                <w:sz w:val="20"/>
                <w:szCs w:val="20"/>
                <w:lang w:val="en-GB" w:eastAsia="ko-KR"/>
              </w:rPr>
              <w:t>drx-LongCycle</w:t>
            </w:r>
            <w:r>
              <w:rPr>
                <w:rFonts w:ascii="Times New Roman" w:hAnsi="Times New Roman" w:eastAsia="Times New Roman" w:cs="Times New Roman"/>
                <w:sz w:val="20"/>
                <w:szCs w:val="20"/>
                <w:lang w:val="en-GB" w:eastAsia="ko-KR"/>
              </w:rPr>
              <w:t>)</w:t>
            </w:r>
            <w:r>
              <w:rPr>
                <w:rFonts w:ascii="Times New Roman" w:hAnsi="Times New Roman" w:eastAsia="Times New Roman" w:cs="Times New Roman"/>
                <w:color w:val="C00000"/>
                <w:sz w:val="20"/>
                <w:szCs w:val="20"/>
                <w:lang w:val="en-GB" w:eastAsia="ko-KR"/>
              </w:rPr>
              <w:t>)</w:t>
            </w:r>
            <w:r>
              <w:rPr>
                <w:rFonts w:ascii="Times New Roman" w:hAnsi="Times New Roman" w:eastAsia="Times New Roman" w:cs="Times New Roman"/>
                <w:sz w:val="20"/>
                <w:szCs w:val="20"/>
                <w:lang w:val="en-GB" w:eastAsia="ko-KR"/>
              </w:rPr>
              <w:t xml:space="preserve"> = </w:t>
            </w:r>
            <w:r>
              <w:rPr>
                <w:rFonts w:ascii="Times New Roman" w:hAnsi="Times New Roman" w:eastAsia="Times New Roman" w:cs="Times New Roman"/>
                <w:i/>
                <w:sz w:val="20"/>
                <w:szCs w:val="20"/>
                <w:lang w:val="en-GB" w:eastAsia="ko-KR"/>
              </w:rPr>
              <w:t>drx-StartOffset</w:t>
            </w:r>
            <w:r>
              <w:rPr>
                <w:rFonts w:ascii="Times New Roman" w:hAnsi="Times New Roman" w:eastAsia="Times New Roman" w:cs="Times New Roman"/>
                <w:sz w:val="20"/>
                <w:szCs w:val="20"/>
                <w:lang w:val="en-GB" w:eastAsia="ko-KR"/>
              </w:rPr>
              <w:t>:</w:t>
            </w:r>
          </w:p>
        </w:tc>
      </w:tr>
    </w:tbl>
    <w:p>
      <w:pPr>
        <w:numPr>
          <w:ilvl w:val="0"/>
          <w:numId w:val="0"/>
        </w:numPr>
        <w:spacing w:before="120"/>
        <w:ind w:leftChars="0"/>
        <w:rPr>
          <w:rFonts w:hint="default" w:ascii="Times New Roman" w:hAnsi="Times New Roman" w:eastAsia="宋体"/>
          <w:lang w:val="en-US" w:eastAsia="zh-CN"/>
        </w:rPr>
      </w:pPr>
      <w:r>
        <w:rPr>
          <w:rFonts w:hint="eastAsia" w:ascii="Times New Roman" w:hAnsi="Times New Roman" w:eastAsia="宋体"/>
          <w:lang w:val="en-US" w:eastAsia="zh-CN"/>
        </w:rPr>
        <w:t xml:space="preserve">The </w:t>
      </w:r>
      <w:r>
        <w:rPr>
          <w:rFonts w:ascii="Times New Roman" w:hAnsi="Times New Roman" w:eastAsia="Times New Roman" w:cs="Times New Roman"/>
          <w:i/>
          <w:sz w:val="20"/>
          <w:szCs w:val="20"/>
          <w:lang w:val="en-GB" w:eastAsia="ja-JP"/>
        </w:rPr>
        <w:t>drx-ShortCycle</w:t>
      </w:r>
      <w:r>
        <w:rPr>
          <w:rFonts w:hint="eastAsia" w:ascii="Times New Roman" w:hAnsi="Times New Roman" w:eastAsia="宋体" w:cs="Times New Roman"/>
          <w:i/>
          <w:sz w:val="20"/>
          <w:szCs w:val="20"/>
          <w:lang w:val="en-US" w:eastAsia="zh-CN"/>
        </w:rPr>
        <w:t xml:space="preserve"> </w:t>
      </w:r>
      <w:r>
        <w:rPr>
          <w:rFonts w:hint="eastAsia" w:ascii="Times New Roman" w:hAnsi="Times New Roman" w:eastAsia="宋体"/>
          <w:lang w:val="en-US" w:eastAsia="zh-CN"/>
        </w:rPr>
        <w:t xml:space="preserve">and the </w:t>
      </w:r>
      <w:r>
        <w:rPr>
          <w:rFonts w:ascii="Times New Roman" w:hAnsi="Times New Roman" w:eastAsia="Times New Roman" w:cs="Times New Roman"/>
          <w:i/>
          <w:sz w:val="20"/>
          <w:szCs w:val="20"/>
          <w:lang w:val="en-GB" w:eastAsia="ko-KR"/>
        </w:rPr>
        <w:t>drx-LongCycle</w:t>
      </w:r>
      <w:r>
        <w:rPr>
          <w:rFonts w:hint="eastAsia" w:ascii="Times New Roman" w:hAnsi="Times New Roman" w:eastAsia="宋体" w:cs="Times New Roman"/>
          <w:i/>
          <w:sz w:val="20"/>
          <w:szCs w:val="20"/>
          <w:lang w:val="en-US" w:eastAsia="zh-CN"/>
        </w:rPr>
        <w:t xml:space="preserve"> </w:t>
      </w:r>
      <w:r>
        <w:rPr>
          <w:rFonts w:hint="eastAsia" w:ascii="Times New Roman" w:hAnsi="Times New Roman" w:eastAsia="宋体"/>
          <w:lang w:val="en-US" w:eastAsia="zh-CN"/>
        </w:rPr>
        <w:t>in formula also includes the non-integer value of DRX periodicity.  The DRX short cycle is defined for the power saving case and the DRX long cycle could be used in more power saving efficient case when the data is not frequently transmitted. Therefore both the DRX long and short cycle based on rational numbers should be supported for the non-integer value of DRX periodicity.</w:t>
      </w:r>
    </w:p>
    <w:p>
      <w:pPr>
        <w:numPr>
          <w:ilvl w:val="0"/>
          <w:numId w:val="0"/>
        </w:numPr>
        <w:spacing w:before="120"/>
        <w:ind w:left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Both the DRX long and short cycle based on rational numbers are supported for the non-integer value of DRX periodicity</w:t>
      </w:r>
    </w:p>
    <w:p>
      <w:pPr>
        <w:numPr>
          <w:ilvl w:val="0"/>
          <w:numId w:val="0"/>
        </w:numPr>
        <w:spacing w:before="120"/>
        <w:ind w:leftChars="0"/>
        <w:rPr>
          <w:rFonts w:hint="eastAsia" w:ascii="Times New Roman" w:hAnsi="Times New Roman" w:eastAsia="宋体"/>
          <w:lang w:val="en-US" w:eastAsia="zh-CN"/>
        </w:rPr>
      </w:pPr>
      <w:r>
        <w:rPr>
          <w:rFonts w:hint="eastAsia" w:ascii="Times New Roman" w:hAnsi="Times New Roman" w:eastAsia="宋体"/>
          <w:lang w:val="en-US" w:eastAsia="zh-CN"/>
        </w:rPr>
        <w:t>The floor operation in above suggested formula [1] is used to round down the result of MOD operation since the divisor of MOD operation is a rational number. The floor and MOD operation in above suggested formula [1] is left to the UE implementation and rounding error caused by the MOD and floor operation should be controlled by the UE.</w:t>
      </w:r>
    </w:p>
    <w:p>
      <w:pPr>
        <w:numPr>
          <w:ilvl w:val="0"/>
          <w:numId w:val="0"/>
        </w:numPr>
        <w:spacing w:before="120"/>
        <w:ind w:leftChars="0"/>
        <w:rPr>
          <w:rFonts w:hint="default" w:cs="Times New Roman"/>
          <w:sz w:val="28"/>
          <w:lang w:val="en-US" w:eastAsia="zh-CN"/>
        </w:rPr>
      </w:pPr>
      <w:r>
        <w:rPr>
          <w:rFonts w:hint="eastAsia" w:ascii="Times New Roman" w:hAnsi="Times New Roman" w:eastAsia="宋体" w:cs="Times New Roman"/>
          <w:b/>
          <w:bCs/>
          <w:lang w:val="en-US" w:eastAsia="zh-CN"/>
        </w:rPr>
        <w:t>Proposal 2: The floor and MOD operation in DRX formula is left to the UE implementation and rounding error caused by the MOD and floor operation should be controlled by the UE</w:t>
      </w:r>
      <w:r>
        <w:rPr>
          <w:rFonts w:hint="eastAsia" w:ascii="Times New Roman" w:hAnsi="Times New Roman" w:eastAsia="宋体"/>
          <w:lang w:val="en-US" w:eastAsia="zh-CN"/>
        </w:rPr>
        <w:t>.</w:t>
      </w:r>
    </w:p>
    <w:p>
      <w:pPr>
        <w:pStyle w:val="3"/>
        <w:keepNext/>
        <w:keepLines/>
        <w:widowControl/>
        <w:numPr>
          <w:ilvl w:val="1"/>
          <w:numId w:val="3"/>
        </w:numPr>
        <w:ind w:right="200" w:rightChars="100"/>
        <w:rPr>
          <w:rFonts w:hint="default" w:cs="Times New Roman"/>
          <w:sz w:val="28"/>
          <w:lang w:val="en-US" w:eastAsia="zh-CN"/>
        </w:rPr>
      </w:pPr>
      <w:r>
        <w:rPr>
          <w:rFonts w:hint="eastAsia" w:cs="Times New Roman"/>
          <w:sz w:val="28"/>
          <w:lang w:val="en-US" w:eastAsia="zh-CN"/>
        </w:rPr>
        <w:t>DRX Cycle Based On Rational Numbers</w:t>
      </w:r>
    </w:p>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In the RAN2 meeting #122, the following agreements have been achieved and the rational numbers solution of DRX cycle issue was selected: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6"/>
              <w:numPr>
                <w:ilvl w:val="0"/>
                <w:numId w:val="0"/>
              </w:numPr>
              <w:overflowPunct/>
              <w:autoSpaceDE/>
              <w:autoSpaceDN/>
              <w:adjustRightInd/>
              <w:ind w:left="1259" w:leftChars="0"/>
              <w:textAlignment w:val="auto"/>
              <w:rPr>
                <w:rFonts w:hint="default"/>
                <w:lang w:val="en-US" w:eastAsia="zh-CN"/>
              </w:rPr>
            </w:pPr>
            <w:r>
              <w:rPr>
                <w:rFonts w:hint="eastAsia"/>
                <w:lang w:val="en-US" w:eastAsia="zh-CN"/>
              </w:rPr>
              <w:t>#122:</w:t>
            </w:r>
          </w:p>
          <w:p>
            <w:pPr>
              <w:pStyle w:val="86"/>
              <w:overflowPunct/>
              <w:autoSpaceDE/>
              <w:autoSpaceDN/>
              <w:adjustRightInd/>
              <w:ind w:left="1619" w:hanging="360"/>
              <w:textAlignment w:val="auto"/>
              <w:rPr>
                <w:rFonts w:hint="eastAsia"/>
                <w:lang w:eastAsia="zh-CN"/>
              </w:rPr>
            </w:pPr>
            <w:r>
              <w:t xml:space="preserve">Define DRX cycle based on rational numbers. Inform RAN1/4 about this and ask them to indicate if this causes issues in their specifications. </w:t>
            </w:r>
          </w:p>
        </w:tc>
      </w:tr>
    </w:tbl>
    <w:p>
      <w:pPr>
        <w:spacing w:before="120"/>
        <w:rPr>
          <w:rFonts w:hint="eastAsia" w:ascii="Times New Roman" w:hAnsi="Times New Roman" w:eastAsia="宋体"/>
          <w:lang w:val="en-US" w:eastAsia="zh-CN"/>
        </w:rPr>
      </w:pPr>
    </w:p>
    <w:p>
      <w:pPr>
        <w:spacing w:before="120"/>
        <w:rPr>
          <w:rFonts w:hint="default" w:ascii="Times New Roman" w:hAnsi="Times New Roman" w:eastAsia="宋体"/>
          <w:lang w:val="en-US" w:eastAsia="zh-CN"/>
        </w:rPr>
      </w:pPr>
      <w:r>
        <w:rPr>
          <w:rFonts w:hint="eastAsia" w:ascii="Times New Roman" w:hAnsi="Times New Roman" w:eastAsia="宋体"/>
          <w:lang w:val="en-US" w:eastAsia="zh-CN"/>
        </w:rPr>
        <w:t>The typical frame rate for XR traffic described in</w:t>
      </w:r>
      <w:r>
        <w:rPr>
          <w:rFonts w:hint="eastAsia" w:ascii="Times New Roman" w:hAnsi="Times New Roman" w:eastAsia="宋体"/>
          <w:lang w:eastAsia="zh-CN"/>
        </w:rPr>
        <w:t xml:space="preserve"> [</w:t>
      </w:r>
      <w:r>
        <w:rPr>
          <w:rFonts w:hint="eastAsia" w:ascii="Times New Roman" w:hAnsi="Times New Roman" w:eastAsia="宋体"/>
          <w:lang w:val="en-US" w:eastAsia="zh-CN"/>
        </w:rPr>
        <w:t>2</w:t>
      </w:r>
      <w:r>
        <w:rPr>
          <w:rFonts w:hint="eastAsia" w:ascii="Times New Roman" w:hAnsi="Times New Roman" w:eastAsia="宋体"/>
          <w:lang w:eastAsia="zh-CN"/>
        </w:rPr>
        <w:t>]</w:t>
      </w:r>
      <w:r>
        <w:rPr>
          <w:rFonts w:hint="eastAsia" w:ascii="Times New Roman" w:hAnsi="Times New Roman" w:eastAsia="宋体"/>
          <w:lang w:val="en-US" w:eastAsia="zh-CN"/>
        </w:rPr>
        <w:t xml:space="preserve"> and [3] varies from 15 to 120 frames per second. The </w:t>
      </w:r>
      <w:r>
        <w:rPr>
          <w:rFonts w:ascii="Times New Roman" w:hAnsi="Times New Roman" w:eastAsia="宋体"/>
          <w:lang w:eastAsia="zh-CN"/>
        </w:rPr>
        <w:t>average packet arrival periodicity of XR is given by the inverse of the frame rate</w:t>
      </w:r>
      <w:r>
        <w:rPr>
          <w:rFonts w:hint="eastAsia" w:ascii="Times New Roman" w:hAnsi="Times New Roman" w:eastAsia="宋体"/>
          <w:lang w:eastAsia="zh-CN"/>
        </w:rPr>
        <w:t xml:space="preserve"> </w:t>
      </w:r>
      <w:r>
        <w:rPr>
          <w:rFonts w:ascii="Times New Roman" w:hAnsi="Times New Roman" w:eastAsia="宋体"/>
          <w:lang w:eastAsia="zh-CN"/>
        </w:rPr>
        <w:t xml:space="preserve">for XR </w:t>
      </w:r>
      <w:r>
        <w:rPr>
          <w:rFonts w:hint="eastAsia" w:ascii="Times New Roman" w:hAnsi="Times New Roman" w:eastAsia="宋体"/>
          <w:lang w:val="en-US" w:eastAsia="zh-CN"/>
        </w:rPr>
        <w:t xml:space="preserve">traffic. Since the typical frame rates consist of [15,30,60,90,120] frames per second, the rational numbers could be introduced for the supported periodicity of XR, including [200/3, 100/3, 50/3,100/9,25/3] in </w:t>
      </w:r>
      <w:r>
        <w:rPr>
          <w:rFonts w:ascii="Times New Roman" w:hAnsi="Times New Roman" w:eastAsia="宋体"/>
          <w:lang w:eastAsia="zh-CN"/>
        </w:rPr>
        <w:t>milliseconds</w:t>
      </w:r>
      <w:r>
        <w:rPr>
          <w:rFonts w:hint="eastAsia" w:ascii="Times New Roman" w:hAnsi="Times New Roman" w:eastAsia="宋体"/>
          <w:lang w:eastAsia="zh-CN"/>
        </w:rPr>
        <w:t xml:space="preserve"> value</w:t>
      </w:r>
      <w:r>
        <w:rPr>
          <w:rFonts w:hint="eastAsia" w:ascii="Times New Roman" w:hAnsi="Times New Roman" w:eastAsia="宋体"/>
          <w:lang w:val="en-US" w:eastAsia="zh-CN"/>
        </w:rPr>
        <w:t xml:space="preserve">. </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1:The frame rate for XR traffic described in [2] and [3] varies from 15 to 120 frames per second.</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3: The rational numbers could be introduced for the supported periodicity of XR, including [200/3, 100/3, 50/3,100/9,25/3] in milliseconds value.</w:t>
      </w:r>
    </w:p>
    <w:p>
      <w:pPr>
        <w:spacing w:before="120"/>
        <w:rPr>
          <w:rFonts w:hint="eastAsia" w:ascii="Times New Roman" w:hAnsi="Times New Roman" w:eastAsia="宋体" w:cs="Times New Roman"/>
          <w:b/>
          <w:bCs/>
          <w:lang w:val="en-US" w:eastAsia="zh-CN"/>
        </w:rPr>
      </w:pPr>
    </w:p>
    <w:p>
      <w:pPr>
        <w:pStyle w:val="3"/>
        <w:keepNext/>
        <w:keepLines/>
        <w:widowControl/>
        <w:numPr>
          <w:ilvl w:val="1"/>
          <w:numId w:val="3"/>
        </w:numPr>
        <w:ind w:right="200" w:rightChars="100"/>
        <w:rPr>
          <w:rFonts w:hint="default" w:cs="Times New Roman"/>
          <w:sz w:val="28"/>
          <w:lang w:val="en-US" w:eastAsia="zh-CN"/>
        </w:rPr>
      </w:pPr>
      <w:r>
        <w:rPr>
          <w:rFonts w:hint="eastAsia" w:cs="Times New Roman"/>
          <w:sz w:val="28"/>
          <w:lang w:val="en-US" w:eastAsia="zh-CN"/>
        </w:rPr>
        <w:t xml:space="preserve">Definition of the Start Offset </w:t>
      </w:r>
    </w:p>
    <w:p>
      <w:pPr>
        <w:numPr>
          <w:ilvl w:val="0"/>
          <w:numId w:val="0"/>
        </w:numPr>
        <w:spacing w:before="120"/>
        <w:ind w:leftChars="0"/>
        <w:rPr>
          <w:rFonts w:hint="default" w:ascii="Times New Roman" w:hAnsi="Times New Roman" w:eastAsia="Arial Unicode MS"/>
          <w:lang w:val="en-US" w:eastAsia="zh-CN"/>
        </w:rPr>
      </w:pPr>
      <w:r>
        <w:rPr>
          <w:rFonts w:hint="eastAsia" w:ascii="Times New Roman" w:hAnsi="Times New Roman" w:eastAsia="宋体"/>
          <w:lang w:val="en-US" w:eastAsia="zh-CN"/>
        </w:rPr>
        <w:t xml:space="preserve">In [4], the allowed range of </w:t>
      </w:r>
      <w:r>
        <w:t>drx-LongCycleStartOffset</w:t>
      </w:r>
      <w:r>
        <w:rPr>
          <w:rFonts w:hint="eastAsia" w:ascii="Times New Roman" w:hAnsi="Times New Roman" w:eastAsia="宋体"/>
          <w:lang w:val="en-US" w:eastAsia="zh-CN"/>
        </w:rPr>
        <w:t xml:space="preserve"> were listed for each</w:t>
      </w:r>
      <w:r>
        <w:rPr>
          <w:rFonts w:hint="eastAsia"/>
          <w:lang w:val="en-US" w:eastAsia="zh-CN"/>
        </w:rPr>
        <w:t xml:space="preserve"> </w:t>
      </w:r>
      <w:r>
        <w:rPr>
          <w:i/>
          <w:lang w:eastAsia="sv-SE"/>
        </w:rPr>
        <w:t>drx-LongCycle</w:t>
      </w:r>
      <w:r>
        <w:rPr>
          <w:rFonts w:hint="eastAsia"/>
          <w:i/>
          <w:lang w:val="en-US" w:eastAsia="zh-CN"/>
        </w:rPr>
        <w:t xml:space="preserve"> </w:t>
      </w:r>
      <w:r>
        <w:rPr>
          <w:rFonts w:hint="eastAsia" w:ascii="Times New Roman" w:hAnsi="Times New Roman" w:eastAsia="宋体"/>
          <w:lang w:val="en-US" w:eastAsia="zh-CN"/>
        </w:rPr>
        <w:t>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2"/>
              <w:spacing w:after="180"/>
            </w:pPr>
            <w:r>
              <w:t xml:space="preserve">drx-LongCycleStartOffset            </w:t>
            </w:r>
            <w:r>
              <w:rPr>
                <w:color w:val="993366"/>
              </w:rPr>
              <w:t>CHOICE</w:t>
            </w:r>
            <w:r>
              <w:t xml:space="preserve"> {</w:t>
            </w:r>
          </w:p>
          <w:p>
            <w:pPr>
              <w:pStyle w:val="42"/>
              <w:spacing w:after="180"/>
            </w:pPr>
            <w:r>
              <w:t xml:space="preserve">        ms10                                </w:t>
            </w:r>
            <w:r>
              <w:rPr>
                <w:color w:val="993366"/>
              </w:rPr>
              <w:t>INTEGER</w:t>
            </w:r>
            <w:r>
              <w:t>(0..9),</w:t>
            </w:r>
          </w:p>
          <w:p>
            <w:pPr>
              <w:pStyle w:val="42"/>
              <w:spacing w:after="180"/>
            </w:pPr>
            <w:r>
              <w:t xml:space="preserve">        ms20                                </w:t>
            </w:r>
            <w:r>
              <w:rPr>
                <w:color w:val="993366"/>
              </w:rPr>
              <w:t>INTEGER</w:t>
            </w:r>
            <w:r>
              <w:t>(0..19),</w:t>
            </w:r>
          </w:p>
          <w:p>
            <w:pPr>
              <w:pStyle w:val="42"/>
              <w:spacing w:after="180"/>
            </w:pPr>
            <w:r>
              <w:t xml:space="preserve">        ms32                                </w:t>
            </w:r>
            <w:r>
              <w:rPr>
                <w:color w:val="993366"/>
              </w:rPr>
              <w:t>INTEGER</w:t>
            </w:r>
            <w:r>
              <w:t>(0..31),</w:t>
            </w:r>
          </w:p>
          <w:p>
            <w:pPr>
              <w:pStyle w:val="42"/>
              <w:spacing w:after="180"/>
            </w:pPr>
            <w:r>
              <w:t xml:space="preserve">        ms40                                </w:t>
            </w:r>
            <w:r>
              <w:rPr>
                <w:color w:val="993366"/>
              </w:rPr>
              <w:t>INTEGER</w:t>
            </w:r>
            <w:r>
              <w:t>(0..39),</w:t>
            </w:r>
          </w:p>
          <w:p>
            <w:pPr>
              <w:pStyle w:val="42"/>
              <w:spacing w:after="180"/>
            </w:pPr>
            <w:r>
              <w:t xml:space="preserve">        ms60                                </w:t>
            </w:r>
            <w:r>
              <w:rPr>
                <w:color w:val="993366"/>
              </w:rPr>
              <w:t>INTEGER</w:t>
            </w:r>
            <w:r>
              <w:t>(0..59),</w:t>
            </w:r>
          </w:p>
          <w:p>
            <w:pPr>
              <w:pStyle w:val="42"/>
              <w:spacing w:after="180"/>
            </w:pPr>
            <w:r>
              <w:t xml:space="preserve">        ms64                                </w:t>
            </w:r>
            <w:r>
              <w:rPr>
                <w:color w:val="993366"/>
              </w:rPr>
              <w:t>INTEGER</w:t>
            </w:r>
            <w:r>
              <w:t>(0..63),</w:t>
            </w:r>
          </w:p>
          <w:p>
            <w:pPr>
              <w:pStyle w:val="42"/>
              <w:spacing w:after="180"/>
            </w:pPr>
            <w:r>
              <w:t xml:space="preserve">        ms70                                </w:t>
            </w:r>
            <w:r>
              <w:rPr>
                <w:color w:val="993366"/>
              </w:rPr>
              <w:t>INTEGER</w:t>
            </w:r>
            <w:r>
              <w:t>(0..69),</w:t>
            </w:r>
          </w:p>
          <w:p>
            <w:pPr>
              <w:pStyle w:val="42"/>
              <w:spacing w:after="180"/>
            </w:pPr>
            <w:r>
              <w:t xml:space="preserve">        ms80                                </w:t>
            </w:r>
            <w:r>
              <w:rPr>
                <w:color w:val="993366"/>
              </w:rPr>
              <w:t>INTEGER</w:t>
            </w:r>
            <w:r>
              <w:t>(0..79),</w:t>
            </w:r>
          </w:p>
          <w:p>
            <w:pPr>
              <w:pStyle w:val="42"/>
              <w:spacing w:after="180"/>
            </w:pPr>
            <w:r>
              <w:t xml:space="preserve">        ms128                               </w:t>
            </w:r>
            <w:r>
              <w:rPr>
                <w:color w:val="993366"/>
              </w:rPr>
              <w:t>INTEGER</w:t>
            </w:r>
            <w:r>
              <w:t>(0..127),</w:t>
            </w:r>
          </w:p>
          <w:p>
            <w:pPr>
              <w:pStyle w:val="42"/>
              <w:spacing w:after="180"/>
            </w:pPr>
            <w:r>
              <w:t xml:space="preserve">        ms160                               </w:t>
            </w:r>
            <w:r>
              <w:rPr>
                <w:color w:val="993366"/>
              </w:rPr>
              <w:t>INTEGER</w:t>
            </w:r>
            <w:r>
              <w:t>(0..159),</w:t>
            </w:r>
          </w:p>
          <w:p>
            <w:pPr>
              <w:pStyle w:val="42"/>
              <w:spacing w:after="180"/>
            </w:pPr>
            <w:r>
              <w:t xml:space="preserve">        ms256                               </w:t>
            </w:r>
            <w:r>
              <w:rPr>
                <w:color w:val="993366"/>
              </w:rPr>
              <w:t>INTEGER</w:t>
            </w:r>
            <w:r>
              <w:t>(0..255),</w:t>
            </w:r>
          </w:p>
          <w:p>
            <w:pPr>
              <w:pStyle w:val="42"/>
              <w:spacing w:after="180"/>
            </w:pPr>
            <w:r>
              <w:t xml:space="preserve">        ms320                               </w:t>
            </w:r>
            <w:r>
              <w:rPr>
                <w:color w:val="993366"/>
              </w:rPr>
              <w:t>INTEGER</w:t>
            </w:r>
            <w:r>
              <w:t>(0..319),</w:t>
            </w:r>
          </w:p>
          <w:p>
            <w:pPr>
              <w:pStyle w:val="42"/>
              <w:spacing w:after="180"/>
            </w:pPr>
            <w:r>
              <w:t xml:space="preserve">        ms512                               </w:t>
            </w:r>
            <w:r>
              <w:rPr>
                <w:color w:val="993366"/>
              </w:rPr>
              <w:t>INTEGER</w:t>
            </w:r>
            <w:r>
              <w:t>(0..511),</w:t>
            </w:r>
          </w:p>
          <w:p>
            <w:pPr>
              <w:pStyle w:val="42"/>
              <w:spacing w:after="180"/>
            </w:pPr>
            <w:r>
              <w:t xml:space="preserve">        ms640                               </w:t>
            </w:r>
            <w:r>
              <w:rPr>
                <w:color w:val="993366"/>
              </w:rPr>
              <w:t>INTEGER</w:t>
            </w:r>
            <w:r>
              <w:t>(0..639),</w:t>
            </w:r>
          </w:p>
          <w:p>
            <w:pPr>
              <w:pStyle w:val="42"/>
              <w:spacing w:after="180"/>
            </w:pPr>
            <w:r>
              <w:t xml:space="preserve">        ms1024                              </w:t>
            </w:r>
            <w:r>
              <w:rPr>
                <w:color w:val="993366"/>
              </w:rPr>
              <w:t>INTEGER</w:t>
            </w:r>
            <w:r>
              <w:t>(0..1023),</w:t>
            </w:r>
          </w:p>
          <w:p>
            <w:pPr>
              <w:pStyle w:val="42"/>
              <w:spacing w:after="180"/>
            </w:pPr>
            <w:r>
              <w:t xml:space="preserve">        ms1280                              </w:t>
            </w:r>
            <w:r>
              <w:rPr>
                <w:color w:val="993366"/>
              </w:rPr>
              <w:t>INTEGER</w:t>
            </w:r>
            <w:r>
              <w:t>(0..1279),</w:t>
            </w:r>
          </w:p>
          <w:p>
            <w:pPr>
              <w:pStyle w:val="42"/>
              <w:spacing w:after="180"/>
            </w:pPr>
            <w:r>
              <w:t xml:space="preserve">        ms2048                              </w:t>
            </w:r>
            <w:r>
              <w:rPr>
                <w:color w:val="993366"/>
              </w:rPr>
              <w:t>INTEGER</w:t>
            </w:r>
            <w:r>
              <w:t>(0..2047),</w:t>
            </w:r>
          </w:p>
          <w:p>
            <w:pPr>
              <w:pStyle w:val="42"/>
              <w:spacing w:after="180"/>
            </w:pPr>
            <w:r>
              <w:t xml:space="preserve">        ms2560                              </w:t>
            </w:r>
            <w:r>
              <w:rPr>
                <w:color w:val="993366"/>
              </w:rPr>
              <w:t>INTEGER</w:t>
            </w:r>
            <w:r>
              <w:t>(0..2559),</w:t>
            </w:r>
          </w:p>
          <w:p>
            <w:pPr>
              <w:pStyle w:val="42"/>
              <w:spacing w:after="180"/>
            </w:pPr>
            <w:r>
              <w:t xml:space="preserve">        ms5120                              </w:t>
            </w:r>
            <w:r>
              <w:rPr>
                <w:color w:val="993366"/>
              </w:rPr>
              <w:t>INTEGER</w:t>
            </w:r>
            <w:r>
              <w:t>(0..5119),</w:t>
            </w:r>
          </w:p>
          <w:p>
            <w:pPr>
              <w:pStyle w:val="42"/>
              <w:spacing w:after="180"/>
            </w:pPr>
            <w:r>
              <w:t xml:space="preserve">        ms10240                             </w:t>
            </w:r>
            <w:r>
              <w:rPr>
                <w:color w:val="993366"/>
              </w:rPr>
              <w:t>INTEGER</w:t>
            </w:r>
            <w:r>
              <w:t>(0..10239)</w:t>
            </w:r>
          </w:p>
          <w:p>
            <w:pPr>
              <w:pStyle w:val="42"/>
              <w:spacing w:after="180"/>
              <w:rPr>
                <w:rFonts w:hint="default" w:ascii="Times New Roman" w:hAnsi="Times New Roman" w:eastAsia="宋体"/>
                <w:vertAlign w:val="baseline"/>
                <w:lang w:val="en-US" w:eastAsia="zh-CN"/>
              </w:rPr>
            </w:pPr>
            <w:r>
              <w:t xml:space="preserve">    },</w:t>
            </w:r>
          </w:p>
        </w:tc>
      </w:tr>
    </w:tbl>
    <w:p>
      <w:pPr>
        <w:numPr>
          <w:ilvl w:val="0"/>
          <w:numId w:val="0"/>
        </w:numPr>
        <w:spacing w:before="120"/>
        <w:ind w:leftChars="0"/>
        <w:rPr>
          <w:rFonts w:hint="eastAsia" w:ascii="Times New Roman" w:hAnsi="Times New Roman" w:eastAsia="宋体"/>
          <w:lang w:val="en-US" w:eastAsia="zh-CN"/>
        </w:rPr>
      </w:pPr>
    </w:p>
    <w:p>
      <w:pPr>
        <w:numPr>
          <w:ilvl w:val="0"/>
          <w:numId w:val="0"/>
        </w:numPr>
        <w:spacing w:before="120"/>
        <w:ind w:leftChars="0"/>
        <w:rPr>
          <w:rFonts w:hint="default" w:ascii="Times New Roman" w:hAnsi="Times New Roman" w:eastAsia="宋体"/>
          <w:lang w:val="en-US" w:eastAsia="zh-CN"/>
        </w:rPr>
      </w:pPr>
      <w:r>
        <w:rPr>
          <w:rFonts w:hint="eastAsia" w:ascii="Times New Roman" w:hAnsi="Times New Roman" w:eastAsia="宋体"/>
          <w:lang w:val="en-US" w:eastAsia="zh-CN"/>
        </w:rPr>
        <w:t>In [1], the suggested formula used for the Long DRX cycle based on  rational numbers was listed below for example: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0" w:after="180"/>
              <w:ind w:left="568" w:hanging="284"/>
              <w:textAlignment w:val="baseline"/>
              <w:rPr>
                <w:rFonts w:hint="default" w:ascii="Times New Roman" w:hAnsi="Times New Roman" w:eastAsia="宋体"/>
                <w:vertAlign w:val="baseline"/>
                <w:lang w:val="en-US" w:eastAsia="zh-CN"/>
              </w:rPr>
            </w:pPr>
            <w:r>
              <w:rPr>
                <w:rFonts w:ascii="Times New Roman" w:hAnsi="Times New Roman" w:eastAsia="Times New Roman" w:cs="Times New Roman"/>
                <w:sz w:val="20"/>
                <w:szCs w:val="20"/>
                <w:lang w:val="en-GB" w:eastAsia="ja-JP"/>
              </w:rPr>
              <w:t>1&gt;</w:t>
            </w:r>
            <w:r>
              <w:rPr>
                <w:rFonts w:ascii="Times New Roman" w:hAnsi="Times New Roman" w:eastAsia="Times New Roman" w:cs="Times New Roman"/>
                <w:sz w:val="20"/>
                <w:szCs w:val="20"/>
                <w:lang w:val="en-GB" w:eastAsia="ja-JP"/>
              </w:rPr>
              <w:tab/>
            </w:r>
            <w:r>
              <w:rPr>
                <w:rFonts w:ascii="Times New Roman" w:hAnsi="Times New Roman" w:eastAsia="Times New Roman" w:cs="Times New Roman"/>
                <w:sz w:val="20"/>
                <w:szCs w:val="20"/>
                <w:lang w:val="en-GB" w:eastAsia="ja-JP"/>
              </w:rPr>
              <w:t>if the Long DRX cycle is used for a DRX group, and</w:t>
            </w:r>
            <w:r>
              <w:rPr>
                <w:rFonts w:ascii="Times New Roman" w:hAnsi="Times New Roman" w:eastAsia="Times New Roman" w:cs="Times New Roman"/>
                <w:sz w:val="20"/>
                <w:szCs w:val="20"/>
                <w:lang w:val="en-GB" w:eastAsia="ko-KR"/>
              </w:rPr>
              <w:t xml:space="preserve"> </w:t>
            </w:r>
            <w:r>
              <w:rPr>
                <w:rFonts w:ascii="Times New Roman" w:hAnsi="Times New Roman" w:eastAsia="Times New Roman" w:cs="Times New Roman"/>
                <w:color w:val="C00000"/>
                <w:sz w:val="20"/>
                <w:szCs w:val="20"/>
                <w:lang w:val="en-GB" w:eastAsia="ko-KR"/>
              </w:rPr>
              <w:t>floor (</w:t>
            </w:r>
            <w:r>
              <w:rPr>
                <w:rFonts w:ascii="Times New Roman" w:hAnsi="Times New Roman" w:eastAsia="Times New Roman" w:cs="Times New Roman"/>
                <w:sz w:val="20"/>
                <w:szCs w:val="20"/>
                <w:lang w:val="en-GB" w:eastAsia="ko-KR"/>
              </w:rPr>
              <w:t>[(SFN × 10) + subframe number] modulo (</w:t>
            </w:r>
            <w:r>
              <w:rPr>
                <w:rFonts w:ascii="Times New Roman" w:hAnsi="Times New Roman" w:eastAsia="Times New Roman" w:cs="Times New Roman"/>
                <w:i/>
                <w:sz w:val="20"/>
                <w:szCs w:val="20"/>
                <w:lang w:val="en-GB" w:eastAsia="ko-KR"/>
              </w:rPr>
              <w:t>drx-LongCycle</w:t>
            </w:r>
            <w:r>
              <w:rPr>
                <w:rFonts w:ascii="Times New Roman" w:hAnsi="Times New Roman" w:eastAsia="Times New Roman" w:cs="Times New Roman"/>
                <w:sz w:val="20"/>
                <w:szCs w:val="20"/>
                <w:lang w:val="en-GB" w:eastAsia="ko-KR"/>
              </w:rPr>
              <w:t>)</w:t>
            </w:r>
            <w:r>
              <w:rPr>
                <w:rFonts w:ascii="Times New Roman" w:hAnsi="Times New Roman" w:eastAsia="Times New Roman" w:cs="Times New Roman"/>
                <w:color w:val="C00000"/>
                <w:sz w:val="20"/>
                <w:szCs w:val="20"/>
                <w:lang w:val="en-GB" w:eastAsia="ko-KR"/>
              </w:rPr>
              <w:t>)</w:t>
            </w:r>
            <w:r>
              <w:rPr>
                <w:rFonts w:ascii="Times New Roman" w:hAnsi="Times New Roman" w:eastAsia="Times New Roman" w:cs="Times New Roman"/>
                <w:sz w:val="20"/>
                <w:szCs w:val="20"/>
                <w:lang w:val="en-GB" w:eastAsia="ko-KR"/>
              </w:rPr>
              <w:t xml:space="preserve"> = </w:t>
            </w:r>
            <w:r>
              <w:rPr>
                <w:rFonts w:ascii="Times New Roman" w:hAnsi="Times New Roman" w:eastAsia="Times New Roman" w:cs="Times New Roman"/>
                <w:i/>
                <w:sz w:val="20"/>
                <w:szCs w:val="20"/>
                <w:lang w:val="en-GB" w:eastAsia="ko-KR"/>
              </w:rPr>
              <w:t>drx-StartOffset</w:t>
            </w:r>
            <w:r>
              <w:rPr>
                <w:rFonts w:ascii="Times New Roman" w:hAnsi="Times New Roman" w:eastAsia="Times New Roman" w:cs="Times New Roman"/>
                <w:sz w:val="20"/>
                <w:szCs w:val="20"/>
                <w:lang w:val="en-GB" w:eastAsia="ko-KR"/>
              </w:rPr>
              <w:t>:</w:t>
            </w:r>
          </w:p>
        </w:tc>
      </w:tr>
    </w:tbl>
    <w:p>
      <w:pPr>
        <w:numPr>
          <w:ilvl w:val="0"/>
          <w:numId w:val="0"/>
        </w:numPr>
        <w:spacing w:before="120"/>
        <w:ind w:leftChars="0"/>
        <w:rPr>
          <w:rFonts w:hint="default" w:ascii="Times New Roman" w:hAnsi="Times New Roman" w:eastAsia="宋体"/>
          <w:lang w:val="en-US" w:eastAsia="zh-CN"/>
        </w:rPr>
      </w:pPr>
      <w:r>
        <w:rPr>
          <w:rFonts w:hint="eastAsia" w:ascii="Times New Roman" w:hAnsi="Times New Roman" w:eastAsia="宋体"/>
          <w:lang w:val="en-US" w:eastAsia="zh-CN"/>
        </w:rPr>
        <w:t>Reusing the legacy structure for the IE drx-LongCycleStartOffset, the start offset of drx-onDurationTimer could also listed for each DRX long cycle based on rational numbers.  Based on the suggested formula in [1], the maximum value of the start offset of drx-onDurationTimer for each non-integer DRX long cycle is result of the floor operation of the non-integer DRX long cycle. The following table lists the definition of the start offset of drx-onDurationTimer for non-integer DRX periodicity:</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2"/>
              <w:spacing w:after="180"/>
            </w:pPr>
            <w:r>
              <w:t xml:space="preserve">drx-LongCycleStartOffset            </w:t>
            </w:r>
            <w:r>
              <w:rPr>
                <w:color w:val="993366"/>
              </w:rPr>
              <w:t>CHOICE</w:t>
            </w:r>
            <w:r>
              <w:t xml:space="preserve"> {</w:t>
            </w:r>
          </w:p>
          <w:p>
            <w:pPr>
              <w:pStyle w:val="42"/>
              <w:spacing w:after="180"/>
            </w:pPr>
            <w:r>
              <w:t xml:space="preserve">        ms</w:t>
            </w:r>
            <w:r>
              <w:rPr>
                <w:rFonts w:hint="eastAsia"/>
                <w:lang w:val="en-US" w:eastAsia="zh-CN"/>
              </w:rPr>
              <w:t>200-3</w:t>
            </w:r>
            <w:r>
              <w:t xml:space="preserve">                               </w:t>
            </w:r>
            <w:r>
              <w:rPr>
                <w:color w:val="993366"/>
              </w:rPr>
              <w:t>INTEGER</w:t>
            </w:r>
            <w:r>
              <w:t>(0..</w:t>
            </w:r>
            <w:r>
              <w:rPr>
                <w:rFonts w:hint="eastAsia"/>
                <w:lang w:val="en-US" w:eastAsia="zh-CN"/>
              </w:rPr>
              <w:t>66</w:t>
            </w:r>
            <w:r>
              <w:t>),</w:t>
            </w:r>
          </w:p>
          <w:p>
            <w:pPr>
              <w:pStyle w:val="42"/>
              <w:spacing w:after="180"/>
            </w:pPr>
            <w:r>
              <w:t xml:space="preserve">        ms</w:t>
            </w:r>
            <w:r>
              <w:rPr>
                <w:rFonts w:hint="eastAsia"/>
                <w:lang w:val="en-US" w:eastAsia="zh-CN"/>
              </w:rPr>
              <w:t>100-3</w:t>
            </w:r>
            <w:r>
              <w:t xml:space="preserve">                               </w:t>
            </w:r>
            <w:r>
              <w:rPr>
                <w:color w:val="993366"/>
              </w:rPr>
              <w:t>INTEGER</w:t>
            </w:r>
            <w:r>
              <w:t>(0..</w:t>
            </w:r>
            <w:r>
              <w:rPr>
                <w:rFonts w:hint="eastAsia"/>
                <w:lang w:val="en-US" w:eastAsia="zh-CN"/>
              </w:rPr>
              <w:t>33</w:t>
            </w:r>
            <w:r>
              <w:t>),</w:t>
            </w:r>
          </w:p>
          <w:p>
            <w:pPr>
              <w:pStyle w:val="42"/>
              <w:spacing w:after="180"/>
            </w:pPr>
            <w:r>
              <w:t xml:space="preserve">        ms</w:t>
            </w:r>
            <w:r>
              <w:rPr>
                <w:rFonts w:hint="eastAsia"/>
                <w:lang w:val="en-US" w:eastAsia="zh-CN"/>
              </w:rPr>
              <w:t>50-3</w:t>
            </w:r>
            <w:r>
              <w:t xml:space="preserve">                                </w:t>
            </w:r>
            <w:r>
              <w:rPr>
                <w:color w:val="993366"/>
              </w:rPr>
              <w:t>INTEGER</w:t>
            </w:r>
            <w:r>
              <w:t>(0..</w:t>
            </w:r>
            <w:r>
              <w:rPr>
                <w:rFonts w:hint="eastAsia"/>
                <w:lang w:val="en-US" w:eastAsia="zh-CN"/>
              </w:rPr>
              <w:t>16</w:t>
            </w:r>
            <w:r>
              <w:t>),</w:t>
            </w:r>
          </w:p>
          <w:p>
            <w:pPr>
              <w:pStyle w:val="42"/>
              <w:spacing w:after="180"/>
            </w:pPr>
            <w:r>
              <w:t xml:space="preserve">        ms</w:t>
            </w:r>
            <w:r>
              <w:rPr>
                <w:rFonts w:hint="eastAsia"/>
                <w:lang w:val="en-US" w:eastAsia="zh-CN"/>
              </w:rPr>
              <w:t>100-9</w:t>
            </w:r>
            <w:r>
              <w:t xml:space="preserve">                               </w:t>
            </w:r>
            <w:r>
              <w:rPr>
                <w:color w:val="993366"/>
              </w:rPr>
              <w:t>INTEGER</w:t>
            </w:r>
            <w:r>
              <w:t>(0..</w:t>
            </w:r>
            <w:r>
              <w:rPr>
                <w:rFonts w:hint="eastAsia"/>
                <w:lang w:val="en-US" w:eastAsia="zh-CN"/>
              </w:rPr>
              <w:t>11</w:t>
            </w:r>
            <w:r>
              <w:t>),</w:t>
            </w:r>
          </w:p>
          <w:p>
            <w:pPr>
              <w:pStyle w:val="42"/>
              <w:spacing w:after="180"/>
            </w:pPr>
            <w:r>
              <w:t xml:space="preserve">        ms</w:t>
            </w:r>
            <w:r>
              <w:rPr>
                <w:rFonts w:hint="eastAsia"/>
                <w:lang w:val="en-US" w:eastAsia="zh-CN"/>
              </w:rPr>
              <w:t>25-3</w:t>
            </w:r>
            <w:r>
              <w:t xml:space="preserve">                                </w:t>
            </w:r>
            <w:r>
              <w:rPr>
                <w:color w:val="993366"/>
              </w:rPr>
              <w:t>INTEGER</w:t>
            </w:r>
            <w:r>
              <w:t>(0..</w:t>
            </w:r>
            <w:r>
              <w:rPr>
                <w:rFonts w:hint="eastAsia"/>
                <w:lang w:val="en-US" w:eastAsia="zh-CN"/>
              </w:rPr>
              <w:t>8</w:t>
            </w:r>
            <w:r>
              <w:t>),</w:t>
            </w:r>
          </w:p>
          <w:p>
            <w:pPr>
              <w:pStyle w:val="42"/>
              <w:spacing w:after="180"/>
              <w:rPr>
                <w:rFonts w:hint="eastAsia" w:ascii="Times New Roman" w:hAnsi="Times New Roman" w:eastAsia="宋体"/>
                <w:vertAlign w:val="baseline"/>
                <w:lang w:val="en-US" w:eastAsia="zh-CN"/>
              </w:rPr>
            </w:pPr>
            <w:r>
              <w:rPr>
                <w:rFonts w:ascii="Courier New" w:hAnsi="Courier New" w:eastAsia="宋体" w:cs="Times New Roman"/>
                <w:sz w:val="16"/>
                <w:lang w:val="en-GB" w:eastAsia="en-US" w:bidi="ar-SA"/>
              </w:rPr>
              <w:t xml:space="preserve">    },</w:t>
            </w:r>
          </w:p>
        </w:tc>
      </w:tr>
    </w:tbl>
    <w:p>
      <w:pPr>
        <w:numPr>
          <w:ilvl w:val="0"/>
          <w:numId w:val="0"/>
        </w:numPr>
        <w:spacing w:before="120"/>
        <w:ind w:leftChars="0"/>
        <w:rPr>
          <w:rFonts w:hint="default" w:ascii="Times New Roman" w:hAnsi="Times New Roman" w:eastAsia="宋体"/>
          <w:lang w:val="en-US" w:eastAsia="zh-CN"/>
        </w:rPr>
      </w:pP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4: Reusing the legacy structure for the IE drx-LongCycleStartOffset, the start offset of drx-onDurationTimer could also listed for each DRX long cycle based on rational numbers. </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5: The maximum value of the start offset of drx-onDurationTimer for each non-integer DRX long cycle is result of the floor operation for the non-integer DRX long cycle.</w:t>
      </w:r>
    </w:p>
    <w:p>
      <w:pPr>
        <w:spacing w:before="120"/>
        <w:rPr>
          <w:rFonts w:hint="eastAsia" w:ascii="Times New Roman" w:hAnsi="Times New Roman" w:eastAsia="宋体" w:cs="Times New Roman"/>
          <w:b/>
          <w:bCs/>
          <w:lang w:val="en-US" w:eastAsia="zh-CN"/>
        </w:rPr>
      </w:pPr>
    </w:p>
    <w:bookmarkEnd w:id="2"/>
    <w:p>
      <w:pPr>
        <w:pStyle w:val="2"/>
      </w:pPr>
      <w:r>
        <w:rPr>
          <w:lang w:eastAsia="zh-CN"/>
        </w:rPr>
        <w:t>Conclusions</w:t>
      </w:r>
    </w:p>
    <w:p>
      <w:pPr>
        <w:numPr>
          <w:ilvl w:val="0"/>
          <w:numId w:val="0"/>
        </w:numPr>
        <w:spacing w:before="120"/>
        <w:ind w:left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contribution, we analyse the open issues of XR DRX enhancements Following is our observations and proposals.</w:t>
      </w:r>
    </w:p>
    <w:p>
      <w:pPr>
        <w:numPr>
          <w:ilvl w:val="0"/>
          <w:numId w:val="0"/>
        </w:numPr>
        <w:spacing w:before="120"/>
        <w:ind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Both the DRX long and short cycle based on rational numbers are supported for the non-integer value of DRX periodicity.</w:t>
      </w:r>
    </w:p>
    <w:p>
      <w:pPr>
        <w:numPr>
          <w:ilvl w:val="0"/>
          <w:numId w:val="0"/>
        </w:numPr>
        <w:spacing w:before="120"/>
        <w:ind w:leftChars="0"/>
        <w:rPr>
          <w:rFonts w:hint="default" w:cs="Times New Roman"/>
          <w:sz w:val="28"/>
          <w:lang w:val="en-US" w:eastAsia="zh-CN"/>
        </w:rPr>
      </w:pPr>
      <w:r>
        <w:rPr>
          <w:rFonts w:hint="eastAsia" w:ascii="Times New Roman" w:hAnsi="Times New Roman" w:eastAsia="宋体" w:cs="Times New Roman"/>
          <w:b/>
          <w:bCs/>
          <w:lang w:val="en-US" w:eastAsia="zh-CN"/>
        </w:rPr>
        <w:t>Proposal 2: The floor and MOD operation in DRX formula is left to the UE implementation and rounding error caused by the MOD and floor operation should be controlled by the UE</w:t>
      </w:r>
      <w:r>
        <w:rPr>
          <w:rFonts w:hint="eastAsia" w:ascii="Times New Roman" w:hAnsi="Times New Roman" w:eastAsia="宋体"/>
          <w:lang w:val="en-US" w:eastAsia="zh-CN"/>
        </w:rPr>
        <w:t>.</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1:The frame rate for XR traffic described in [2] and [3] varies from 15 to 120 frames per second.</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3:The rational numbers could be introduced for the supported periodicity of XR, including [200/3, 100/3, 50/3,100/9,25/3] in milliseconds value.</w:t>
      </w:r>
    </w:p>
    <w:p>
      <w:p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4: Reusing the legacy structure for the IE drx-LongCycleStartOffset, the start offset of drx-onDurationTimer could also listed for each DRX long cycle based on rational numbers. </w:t>
      </w:r>
    </w:p>
    <w:p>
      <w:p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5: The maximum value of the start offset of drx-onDurationTimer for each non-integer DRX long cycle is result of the floor operation for the non-integer DRX long cycle.</w:t>
      </w:r>
    </w:p>
    <w:p>
      <w:pPr>
        <w:pStyle w:val="2"/>
      </w:pPr>
      <w:r>
        <w:t>References</w:t>
      </w:r>
    </w:p>
    <w:p>
      <w:pPr>
        <w:pStyle w:val="81"/>
        <w:numPr>
          <w:ilvl w:val="0"/>
          <w:numId w:val="4"/>
        </w:numPr>
        <w:rPr>
          <w:rFonts w:hint="default" w:ascii="Times New Roman" w:hAnsi="Times New Roman"/>
          <w:sz w:val="22"/>
          <w:szCs w:val="22"/>
          <w:lang w:val="en-US" w:eastAsia="zh-CN"/>
        </w:rPr>
      </w:pPr>
      <w:r>
        <w:rPr>
          <w:rFonts w:hint="eastAsia" w:ascii="Times New Roman" w:hAnsi="Times New Roman"/>
          <w:sz w:val="22"/>
          <w:szCs w:val="22"/>
          <w:lang w:eastAsia="zh-CN"/>
        </w:rPr>
        <w:t>R2-2304709</w:t>
      </w:r>
      <w:r>
        <w:rPr>
          <w:rFonts w:hint="eastAsia" w:ascii="Times New Roman" w:hAnsi="Times New Roman"/>
          <w:sz w:val="22"/>
          <w:szCs w:val="22"/>
          <w:lang w:val="en-US" w:eastAsia="zh-CN"/>
        </w:rPr>
        <w:t xml:space="preserve"> </w:t>
      </w:r>
      <w:r>
        <w:rPr>
          <w:rFonts w:hint="eastAsia" w:ascii="Times New Roman" w:hAnsi="Times New Roman"/>
          <w:sz w:val="22"/>
          <w:szCs w:val="22"/>
          <w:lang w:eastAsia="en-US"/>
        </w:rPr>
        <w:t>DRX enhancements for XR</w:t>
      </w:r>
      <w:r>
        <w:rPr>
          <w:rFonts w:hint="eastAsia" w:ascii="Times New Roman" w:hAnsi="Times New Roman"/>
          <w:sz w:val="22"/>
          <w:szCs w:val="22"/>
          <w:lang w:val="en-US" w:eastAsia="zh-CN"/>
        </w:rPr>
        <w:t xml:space="preserve">, </w:t>
      </w:r>
      <w:r>
        <w:rPr>
          <w:rFonts w:hint="eastAsia" w:ascii="Times New Roman" w:hAnsi="Times New Roman"/>
          <w:sz w:val="22"/>
          <w:szCs w:val="22"/>
          <w:lang w:eastAsia="en-US"/>
        </w:rPr>
        <w:t>Qualcomm Incorporated, MediaTek, CATT, vivo, NEC, Meta</w:t>
      </w:r>
    </w:p>
    <w:p>
      <w:pPr>
        <w:pStyle w:val="81"/>
        <w:numPr>
          <w:ilvl w:val="0"/>
          <w:numId w:val="4"/>
        </w:numPr>
        <w:rPr>
          <w:rFonts w:hint="default" w:ascii="Times New Roman" w:hAnsi="Times New Roman"/>
          <w:sz w:val="22"/>
          <w:szCs w:val="22"/>
          <w:lang w:val="en-US" w:eastAsia="zh-CN"/>
        </w:rPr>
      </w:pPr>
      <w:r>
        <w:rPr>
          <w:rFonts w:hint="eastAsia" w:ascii="Times New Roman" w:hAnsi="Times New Roman"/>
          <w:sz w:val="22"/>
          <w:szCs w:val="22"/>
          <w:lang w:eastAsia="zh-CN"/>
        </w:rPr>
        <w:t xml:space="preserve">3GPP </w:t>
      </w:r>
      <w:bookmarkStart w:id="3" w:name="specType1"/>
      <w:r>
        <w:rPr>
          <w:rFonts w:hint="eastAsia" w:ascii="Times New Roman" w:hAnsi="Times New Roman"/>
          <w:sz w:val="22"/>
          <w:szCs w:val="22"/>
          <w:lang w:eastAsia="zh-CN"/>
        </w:rPr>
        <w:t>TR</w:t>
      </w:r>
      <w:bookmarkEnd w:id="3"/>
      <w:r>
        <w:rPr>
          <w:rFonts w:hint="eastAsia" w:ascii="Times New Roman" w:hAnsi="Times New Roman"/>
          <w:sz w:val="22"/>
          <w:szCs w:val="22"/>
          <w:lang w:eastAsia="zh-CN"/>
        </w:rPr>
        <w:t xml:space="preserve"> </w:t>
      </w:r>
      <w:bookmarkStart w:id="4" w:name="specNumber"/>
      <w:r>
        <w:rPr>
          <w:rFonts w:hint="eastAsia" w:ascii="Times New Roman" w:hAnsi="Times New Roman"/>
          <w:sz w:val="22"/>
          <w:szCs w:val="22"/>
          <w:lang w:eastAsia="zh-CN"/>
        </w:rPr>
        <w:t>38.</w:t>
      </w:r>
      <w:bookmarkEnd w:id="4"/>
      <w:r>
        <w:rPr>
          <w:rFonts w:hint="eastAsia" w:ascii="Times New Roman" w:hAnsi="Times New Roman"/>
          <w:sz w:val="22"/>
          <w:szCs w:val="22"/>
          <w:lang w:eastAsia="zh-CN"/>
        </w:rPr>
        <w:t>835 V</w:t>
      </w:r>
      <w:bookmarkStart w:id="5" w:name="specVersion"/>
      <w:r>
        <w:rPr>
          <w:rFonts w:hint="eastAsia" w:ascii="Times New Roman" w:hAnsi="Times New Roman"/>
          <w:sz w:val="22"/>
          <w:szCs w:val="22"/>
          <w:lang w:eastAsia="zh-CN"/>
        </w:rPr>
        <w:t>1.0.</w:t>
      </w:r>
      <w:bookmarkEnd w:id="5"/>
      <w:r>
        <w:rPr>
          <w:rFonts w:hint="eastAsia" w:ascii="Times New Roman" w:hAnsi="Times New Roman"/>
          <w:sz w:val="22"/>
          <w:szCs w:val="22"/>
          <w:lang w:eastAsia="zh-CN"/>
        </w:rPr>
        <w:t xml:space="preserve">0, Study on XR enhancements for NR(Release </w:t>
      </w:r>
      <w:bookmarkStart w:id="6" w:name="specRelease"/>
      <w:r>
        <w:rPr>
          <w:rFonts w:hint="eastAsia" w:ascii="Times New Roman" w:hAnsi="Times New Roman"/>
          <w:sz w:val="22"/>
          <w:szCs w:val="22"/>
          <w:lang w:eastAsia="zh-CN"/>
        </w:rPr>
        <w:t>18</w:t>
      </w:r>
      <w:bookmarkEnd w:id="6"/>
      <w:r>
        <w:rPr>
          <w:rFonts w:hint="eastAsia" w:ascii="Times New Roman" w:hAnsi="Times New Roman"/>
          <w:sz w:val="22"/>
          <w:szCs w:val="22"/>
          <w:lang w:eastAsia="zh-CN"/>
        </w:rPr>
        <w:t>),</w:t>
      </w:r>
      <w:bookmarkStart w:id="7" w:name="issueDate"/>
      <w:r>
        <w:rPr>
          <w:rFonts w:hint="eastAsia" w:ascii="Times New Roman" w:hAnsi="Times New Roman"/>
          <w:sz w:val="22"/>
          <w:szCs w:val="22"/>
          <w:lang w:eastAsia="zh-CN"/>
        </w:rPr>
        <w:t xml:space="preserve"> 2022-</w:t>
      </w:r>
      <w:bookmarkEnd w:id="7"/>
      <w:r>
        <w:rPr>
          <w:rFonts w:hint="eastAsia" w:ascii="Times New Roman" w:hAnsi="Times New Roman"/>
          <w:sz w:val="22"/>
          <w:szCs w:val="22"/>
          <w:lang w:eastAsia="zh-CN"/>
        </w:rPr>
        <w:t>12</w:t>
      </w:r>
    </w:p>
    <w:p>
      <w:pPr>
        <w:pStyle w:val="81"/>
        <w:numPr>
          <w:ilvl w:val="0"/>
          <w:numId w:val="4"/>
        </w:numPr>
        <w:rPr>
          <w:rFonts w:hint="default" w:ascii="Times New Roman" w:hAnsi="Times New Roman"/>
          <w:sz w:val="22"/>
          <w:szCs w:val="22"/>
          <w:lang w:val="en-US" w:eastAsia="zh-CN"/>
        </w:rPr>
      </w:pPr>
      <w:r>
        <w:rPr>
          <w:rFonts w:hint="eastAsia" w:ascii="Times New Roman" w:hAnsi="Times New Roman"/>
          <w:sz w:val="22"/>
          <w:szCs w:val="22"/>
          <w:lang w:eastAsia="zh-CN"/>
        </w:rPr>
        <w:t>3GPP TR 26.926 V2.0.0 (2023-09)</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Traffic Models and Quality Evaluation Methods for Media and XR Services in 5G Systems;(Release 18)</w:t>
      </w:r>
    </w:p>
    <w:p>
      <w:pPr>
        <w:pStyle w:val="81"/>
        <w:numPr>
          <w:ilvl w:val="0"/>
          <w:numId w:val="4"/>
        </w:numPr>
        <w:rPr>
          <w:rFonts w:hint="default" w:ascii="Times New Roman" w:hAnsi="Times New Roman"/>
          <w:sz w:val="22"/>
          <w:szCs w:val="22"/>
          <w:lang w:val="en-US" w:eastAsia="zh-CN"/>
        </w:rPr>
      </w:pPr>
      <w:r>
        <w:rPr>
          <w:rFonts w:hint="eastAsia" w:ascii="Times New Roman" w:hAnsi="Times New Roman"/>
          <w:sz w:val="22"/>
          <w:szCs w:val="22"/>
          <w:lang w:eastAsia="zh-CN"/>
        </w:rPr>
        <w:t>3GPP TS 38.3</w:t>
      </w:r>
      <w:r>
        <w:rPr>
          <w:rFonts w:hint="eastAsia" w:ascii="Times New Roman" w:hAnsi="Times New Roman"/>
          <w:sz w:val="22"/>
          <w:szCs w:val="22"/>
          <w:lang w:val="en-US" w:eastAsia="zh-CN"/>
        </w:rPr>
        <w:t>21</w:t>
      </w:r>
      <w:r>
        <w:rPr>
          <w:rFonts w:hint="eastAsia" w:ascii="Times New Roman" w:hAnsi="Times New Roman"/>
          <w:sz w:val="22"/>
          <w:szCs w:val="22"/>
          <w:lang w:eastAsia="zh-CN"/>
        </w:rPr>
        <w:t xml:space="preserve"> V17.</w:t>
      </w:r>
      <w:r>
        <w:rPr>
          <w:rFonts w:hint="eastAsia" w:ascii="Times New Roman" w:hAnsi="Times New Roman"/>
          <w:sz w:val="22"/>
          <w:szCs w:val="22"/>
          <w:lang w:val="en-US" w:eastAsia="zh-CN"/>
        </w:rPr>
        <w:t>5</w:t>
      </w:r>
      <w:r>
        <w:rPr>
          <w:rFonts w:hint="eastAsia" w:ascii="Times New Roman" w:hAnsi="Times New Roman"/>
          <w:sz w:val="22"/>
          <w:szCs w:val="22"/>
          <w:lang w:eastAsia="zh-CN"/>
        </w:rPr>
        <w:t>.</w:t>
      </w:r>
      <w:r>
        <w:rPr>
          <w:rFonts w:hint="eastAsia" w:ascii="Times New Roman" w:hAnsi="Times New Roman"/>
          <w:sz w:val="22"/>
          <w:szCs w:val="22"/>
          <w:lang w:val="en-US" w:eastAsia="zh-CN"/>
        </w:rPr>
        <w:t>0</w:t>
      </w:r>
      <w:r>
        <w:rPr>
          <w:rFonts w:hint="eastAsia" w:ascii="Times New Roman" w:hAnsi="Times New Roman"/>
          <w:sz w:val="22"/>
          <w:szCs w:val="22"/>
          <w:lang w:eastAsia="zh-CN"/>
        </w:rPr>
        <w:t xml:space="preserve"> Medium Access Control (MAC) protocol specification (Release 17)</w:t>
      </w:r>
      <w:r>
        <w:rPr>
          <w:rFonts w:hint="eastAsia" w:ascii="Times New Roman" w:hAnsi="Times New Roman"/>
          <w:sz w:val="22"/>
          <w:szCs w:val="22"/>
          <w:lang w:val="en-US" w:eastAsia="zh-CN"/>
        </w:rPr>
        <w:t>, 2023-06</w:t>
      </w:r>
    </w:p>
    <w:p>
      <w:pPr>
        <w:pStyle w:val="81"/>
        <w:ind w:left="357"/>
        <w:rPr>
          <w:lang w:eastAsia="zh-CN"/>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70146DC0"/>
    <w:multiLevelType w:val="multilevel"/>
    <w:tmpl w:val="70146DC0"/>
    <w:lvl w:ilvl="0" w:tentative="0">
      <w:start w:val="1"/>
      <w:numFmt w:val="bullet"/>
      <w:pStyle w:val="8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62249F"/>
    <w:multiLevelType w:val="multilevel"/>
    <w:tmpl w:val="7B62249F"/>
    <w:lvl w:ilvl="0" w:tentative="0">
      <w:start w:val="2"/>
      <w:numFmt w:val="decimal"/>
      <w:lvlText w:val="%1"/>
      <w:lvlJc w:val="left"/>
      <w:pPr>
        <w:ind w:left="405" w:hanging="40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0CF5"/>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1793"/>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1926"/>
    <w:rsid w:val="000F2595"/>
    <w:rsid w:val="000F3114"/>
    <w:rsid w:val="000F387E"/>
    <w:rsid w:val="000F4E5D"/>
    <w:rsid w:val="000F5052"/>
    <w:rsid w:val="000F7383"/>
    <w:rsid w:val="000F7E1A"/>
    <w:rsid w:val="00100727"/>
    <w:rsid w:val="0010159D"/>
    <w:rsid w:val="00101C13"/>
    <w:rsid w:val="00102B50"/>
    <w:rsid w:val="001035CF"/>
    <w:rsid w:val="00103FD9"/>
    <w:rsid w:val="00104AFC"/>
    <w:rsid w:val="00105382"/>
    <w:rsid w:val="00105EE4"/>
    <w:rsid w:val="0010746E"/>
    <w:rsid w:val="0011158C"/>
    <w:rsid w:val="0011229B"/>
    <w:rsid w:val="00112453"/>
    <w:rsid w:val="00114C47"/>
    <w:rsid w:val="00116505"/>
    <w:rsid w:val="0011672A"/>
    <w:rsid w:val="00116F57"/>
    <w:rsid w:val="00117213"/>
    <w:rsid w:val="00117456"/>
    <w:rsid w:val="001207AA"/>
    <w:rsid w:val="00120849"/>
    <w:rsid w:val="00120DC5"/>
    <w:rsid w:val="0012180D"/>
    <w:rsid w:val="00122D33"/>
    <w:rsid w:val="0012397B"/>
    <w:rsid w:val="00123BA3"/>
    <w:rsid w:val="00123DCF"/>
    <w:rsid w:val="001252CC"/>
    <w:rsid w:val="00127966"/>
    <w:rsid w:val="00130400"/>
    <w:rsid w:val="00131A30"/>
    <w:rsid w:val="00132920"/>
    <w:rsid w:val="00133A74"/>
    <w:rsid w:val="0013410C"/>
    <w:rsid w:val="00134C49"/>
    <w:rsid w:val="0013511F"/>
    <w:rsid w:val="001359EF"/>
    <w:rsid w:val="00136C50"/>
    <w:rsid w:val="00137680"/>
    <w:rsid w:val="00137923"/>
    <w:rsid w:val="00143E05"/>
    <w:rsid w:val="00144014"/>
    <w:rsid w:val="001443A3"/>
    <w:rsid w:val="00145419"/>
    <w:rsid w:val="00145FA9"/>
    <w:rsid w:val="001466B2"/>
    <w:rsid w:val="00147252"/>
    <w:rsid w:val="0014763D"/>
    <w:rsid w:val="00147A32"/>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3DB"/>
    <w:rsid w:val="0017187C"/>
    <w:rsid w:val="00172326"/>
    <w:rsid w:val="00172FD7"/>
    <w:rsid w:val="001735B1"/>
    <w:rsid w:val="00174BF6"/>
    <w:rsid w:val="001750A9"/>
    <w:rsid w:val="00175C44"/>
    <w:rsid w:val="001777C1"/>
    <w:rsid w:val="00177D29"/>
    <w:rsid w:val="001802E7"/>
    <w:rsid w:val="001805A4"/>
    <w:rsid w:val="00180F50"/>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1F704D"/>
    <w:rsid w:val="0020028B"/>
    <w:rsid w:val="00200B08"/>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3C67"/>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7CD"/>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0159"/>
    <w:rsid w:val="002B1533"/>
    <w:rsid w:val="002B1F97"/>
    <w:rsid w:val="002B2093"/>
    <w:rsid w:val="002B26B1"/>
    <w:rsid w:val="002B3195"/>
    <w:rsid w:val="002B4B1A"/>
    <w:rsid w:val="002B5D9D"/>
    <w:rsid w:val="002B61AF"/>
    <w:rsid w:val="002B6965"/>
    <w:rsid w:val="002B7AC8"/>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48A"/>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97F5B"/>
    <w:rsid w:val="003A014E"/>
    <w:rsid w:val="003A0881"/>
    <w:rsid w:val="003A08DF"/>
    <w:rsid w:val="003A417A"/>
    <w:rsid w:val="003A4261"/>
    <w:rsid w:val="003A504C"/>
    <w:rsid w:val="003A523F"/>
    <w:rsid w:val="003A57BB"/>
    <w:rsid w:val="003A6844"/>
    <w:rsid w:val="003B01E4"/>
    <w:rsid w:val="003B102D"/>
    <w:rsid w:val="003B2016"/>
    <w:rsid w:val="003B301F"/>
    <w:rsid w:val="003B3E00"/>
    <w:rsid w:val="003B48BB"/>
    <w:rsid w:val="003B53E7"/>
    <w:rsid w:val="003B58D2"/>
    <w:rsid w:val="003B5946"/>
    <w:rsid w:val="003B6DCA"/>
    <w:rsid w:val="003B77A1"/>
    <w:rsid w:val="003C12C4"/>
    <w:rsid w:val="003C23C2"/>
    <w:rsid w:val="003C2FE2"/>
    <w:rsid w:val="003C5C02"/>
    <w:rsid w:val="003C74C0"/>
    <w:rsid w:val="003C7655"/>
    <w:rsid w:val="003D02C7"/>
    <w:rsid w:val="003D03B6"/>
    <w:rsid w:val="003D05E1"/>
    <w:rsid w:val="003D078E"/>
    <w:rsid w:val="003D09E5"/>
    <w:rsid w:val="003D16F6"/>
    <w:rsid w:val="003D25B3"/>
    <w:rsid w:val="003D267B"/>
    <w:rsid w:val="003D451A"/>
    <w:rsid w:val="003D454B"/>
    <w:rsid w:val="003D47C2"/>
    <w:rsid w:val="003D4EE5"/>
    <w:rsid w:val="003D515D"/>
    <w:rsid w:val="003D727F"/>
    <w:rsid w:val="003D76A1"/>
    <w:rsid w:val="003E0230"/>
    <w:rsid w:val="003E07D6"/>
    <w:rsid w:val="003E07EA"/>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77E"/>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6E2"/>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4391"/>
    <w:rsid w:val="004A6548"/>
    <w:rsid w:val="004B0AA7"/>
    <w:rsid w:val="004B1716"/>
    <w:rsid w:val="004B43ED"/>
    <w:rsid w:val="004B49CF"/>
    <w:rsid w:val="004B4E3D"/>
    <w:rsid w:val="004B526E"/>
    <w:rsid w:val="004B54B3"/>
    <w:rsid w:val="004B5B8F"/>
    <w:rsid w:val="004B66C4"/>
    <w:rsid w:val="004B6F48"/>
    <w:rsid w:val="004B7662"/>
    <w:rsid w:val="004B7E6A"/>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444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4E49"/>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058C"/>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5FBE"/>
    <w:rsid w:val="005D6FC0"/>
    <w:rsid w:val="005D7F40"/>
    <w:rsid w:val="005E0152"/>
    <w:rsid w:val="005E0590"/>
    <w:rsid w:val="005E1555"/>
    <w:rsid w:val="005E175F"/>
    <w:rsid w:val="005E1AC8"/>
    <w:rsid w:val="005E2292"/>
    <w:rsid w:val="005E2E5D"/>
    <w:rsid w:val="005E3455"/>
    <w:rsid w:val="005E621B"/>
    <w:rsid w:val="005E64E1"/>
    <w:rsid w:val="005F0CA7"/>
    <w:rsid w:val="005F2FD5"/>
    <w:rsid w:val="005F591E"/>
    <w:rsid w:val="005F5C42"/>
    <w:rsid w:val="005F5E29"/>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27E"/>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8D9"/>
    <w:rsid w:val="00680F27"/>
    <w:rsid w:val="00680F84"/>
    <w:rsid w:val="006821D6"/>
    <w:rsid w:val="00682DB1"/>
    <w:rsid w:val="0068514A"/>
    <w:rsid w:val="00686A67"/>
    <w:rsid w:val="00687F04"/>
    <w:rsid w:val="0069306C"/>
    <w:rsid w:val="00693169"/>
    <w:rsid w:val="0069369E"/>
    <w:rsid w:val="006937BA"/>
    <w:rsid w:val="00695FE2"/>
    <w:rsid w:val="00696305"/>
    <w:rsid w:val="00697F47"/>
    <w:rsid w:val="006A03BD"/>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43E"/>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19E4"/>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3227"/>
    <w:rsid w:val="007445B2"/>
    <w:rsid w:val="00744689"/>
    <w:rsid w:val="00744E76"/>
    <w:rsid w:val="00745016"/>
    <w:rsid w:val="00747004"/>
    <w:rsid w:val="007506BD"/>
    <w:rsid w:val="00751B62"/>
    <w:rsid w:val="0075366B"/>
    <w:rsid w:val="00753BB0"/>
    <w:rsid w:val="00754AD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455"/>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AF"/>
    <w:rsid w:val="007E0BE6"/>
    <w:rsid w:val="007E0F66"/>
    <w:rsid w:val="007E153F"/>
    <w:rsid w:val="007E1DF8"/>
    <w:rsid w:val="007E1F2A"/>
    <w:rsid w:val="007E2C01"/>
    <w:rsid w:val="007E2E21"/>
    <w:rsid w:val="007E56CB"/>
    <w:rsid w:val="007E574B"/>
    <w:rsid w:val="007E77B1"/>
    <w:rsid w:val="007F0139"/>
    <w:rsid w:val="007F060D"/>
    <w:rsid w:val="007F0DDD"/>
    <w:rsid w:val="007F3FCE"/>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55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1D4"/>
    <w:rsid w:val="0083635E"/>
    <w:rsid w:val="00836E63"/>
    <w:rsid w:val="008377D0"/>
    <w:rsid w:val="008378E0"/>
    <w:rsid w:val="008403B3"/>
    <w:rsid w:val="008407A9"/>
    <w:rsid w:val="008420B9"/>
    <w:rsid w:val="008437D1"/>
    <w:rsid w:val="008447AF"/>
    <w:rsid w:val="00845B18"/>
    <w:rsid w:val="00846147"/>
    <w:rsid w:val="008504AF"/>
    <w:rsid w:val="00850EFB"/>
    <w:rsid w:val="00851A34"/>
    <w:rsid w:val="0085366C"/>
    <w:rsid w:val="00853EF1"/>
    <w:rsid w:val="00854D2C"/>
    <w:rsid w:val="00854E8D"/>
    <w:rsid w:val="00855715"/>
    <w:rsid w:val="00855E15"/>
    <w:rsid w:val="00856CA7"/>
    <w:rsid w:val="00856EF3"/>
    <w:rsid w:val="008602D3"/>
    <w:rsid w:val="0086236F"/>
    <w:rsid w:val="008635E4"/>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60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D2B"/>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717"/>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AD4"/>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35E"/>
    <w:rsid w:val="00963987"/>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408"/>
    <w:rsid w:val="009B676E"/>
    <w:rsid w:val="009B78D4"/>
    <w:rsid w:val="009C0CE3"/>
    <w:rsid w:val="009C30D7"/>
    <w:rsid w:val="009C395D"/>
    <w:rsid w:val="009C567E"/>
    <w:rsid w:val="009C6592"/>
    <w:rsid w:val="009C677E"/>
    <w:rsid w:val="009D1423"/>
    <w:rsid w:val="009D256D"/>
    <w:rsid w:val="009D25D9"/>
    <w:rsid w:val="009D3B54"/>
    <w:rsid w:val="009D54FD"/>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C97"/>
    <w:rsid w:val="00A02ECE"/>
    <w:rsid w:val="00A0300B"/>
    <w:rsid w:val="00A059F2"/>
    <w:rsid w:val="00A05FF9"/>
    <w:rsid w:val="00A06B61"/>
    <w:rsid w:val="00A10F02"/>
    <w:rsid w:val="00A10F0A"/>
    <w:rsid w:val="00A11623"/>
    <w:rsid w:val="00A119B7"/>
    <w:rsid w:val="00A12DF2"/>
    <w:rsid w:val="00A15377"/>
    <w:rsid w:val="00A15901"/>
    <w:rsid w:val="00A162C3"/>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3C65"/>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5FCC"/>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D3C"/>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0CED"/>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58A0"/>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41C"/>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5E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368"/>
    <w:rsid w:val="00C5652F"/>
    <w:rsid w:val="00C57F90"/>
    <w:rsid w:val="00C60F32"/>
    <w:rsid w:val="00C61DC9"/>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2B5"/>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0D2D"/>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BB8"/>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1D1"/>
    <w:rsid w:val="00D41E58"/>
    <w:rsid w:val="00D42254"/>
    <w:rsid w:val="00D42E0A"/>
    <w:rsid w:val="00D430F5"/>
    <w:rsid w:val="00D43866"/>
    <w:rsid w:val="00D43E63"/>
    <w:rsid w:val="00D442A1"/>
    <w:rsid w:val="00D44601"/>
    <w:rsid w:val="00D45E4B"/>
    <w:rsid w:val="00D45E5F"/>
    <w:rsid w:val="00D47133"/>
    <w:rsid w:val="00D474C5"/>
    <w:rsid w:val="00D47558"/>
    <w:rsid w:val="00D52163"/>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3BA"/>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4FB"/>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674"/>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C09"/>
    <w:rsid w:val="00EB2D99"/>
    <w:rsid w:val="00EB3DBE"/>
    <w:rsid w:val="00EB4378"/>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A30"/>
    <w:rsid w:val="00EE3EAE"/>
    <w:rsid w:val="00EE42BE"/>
    <w:rsid w:val="00EE4335"/>
    <w:rsid w:val="00EE498C"/>
    <w:rsid w:val="00EE5BB5"/>
    <w:rsid w:val="00EF0528"/>
    <w:rsid w:val="00EF18AF"/>
    <w:rsid w:val="00EF1C76"/>
    <w:rsid w:val="00EF28BE"/>
    <w:rsid w:val="00EF46DA"/>
    <w:rsid w:val="00EF546E"/>
    <w:rsid w:val="00EF5DEB"/>
    <w:rsid w:val="00EF68E6"/>
    <w:rsid w:val="00EF7149"/>
    <w:rsid w:val="00EF7157"/>
    <w:rsid w:val="00EF7572"/>
    <w:rsid w:val="00EF7597"/>
    <w:rsid w:val="00EF78A5"/>
    <w:rsid w:val="00EF7CC1"/>
    <w:rsid w:val="00F01594"/>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2EBA"/>
    <w:rsid w:val="00F339A6"/>
    <w:rsid w:val="00F3430F"/>
    <w:rsid w:val="00F35927"/>
    <w:rsid w:val="00F37743"/>
    <w:rsid w:val="00F40E29"/>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D6F"/>
    <w:rsid w:val="00FF4399"/>
    <w:rsid w:val="00FF48B9"/>
    <w:rsid w:val="00FF4EC3"/>
    <w:rsid w:val="00FF6766"/>
    <w:rsid w:val="00FF6AB8"/>
    <w:rsid w:val="00FF6D35"/>
    <w:rsid w:val="00FF6DD6"/>
    <w:rsid w:val="00FF76E7"/>
    <w:rsid w:val="02257ED0"/>
    <w:rsid w:val="02784097"/>
    <w:rsid w:val="041F7ED2"/>
    <w:rsid w:val="04FE73E6"/>
    <w:rsid w:val="0621048A"/>
    <w:rsid w:val="06CB7731"/>
    <w:rsid w:val="07911F98"/>
    <w:rsid w:val="07A03105"/>
    <w:rsid w:val="07AE2415"/>
    <w:rsid w:val="08C747EE"/>
    <w:rsid w:val="092E6F1B"/>
    <w:rsid w:val="09775E38"/>
    <w:rsid w:val="09C0652C"/>
    <w:rsid w:val="09DB32C1"/>
    <w:rsid w:val="0B5D0834"/>
    <w:rsid w:val="0BC361E0"/>
    <w:rsid w:val="0CC41B3F"/>
    <w:rsid w:val="0CFE6F00"/>
    <w:rsid w:val="0D196A85"/>
    <w:rsid w:val="0DA46170"/>
    <w:rsid w:val="0DC0547B"/>
    <w:rsid w:val="0EB51830"/>
    <w:rsid w:val="0EFC33DE"/>
    <w:rsid w:val="0F684693"/>
    <w:rsid w:val="0FC84B70"/>
    <w:rsid w:val="110113F5"/>
    <w:rsid w:val="11E35E9B"/>
    <w:rsid w:val="12995C93"/>
    <w:rsid w:val="12F25CEC"/>
    <w:rsid w:val="14002BC0"/>
    <w:rsid w:val="140E661D"/>
    <w:rsid w:val="14314B49"/>
    <w:rsid w:val="14AB7223"/>
    <w:rsid w:val="172C34F6"/>
    <w:rsid w:val="17366BC2"/>
    <w:rsid w:val="17A07B4A"/>
    <w:rsid w:val="17BF2702"/>
    <w:rsid w:val="185C168F"/>
    <w:rsid w:val="18794111"/>
    <w:rsid w:val="18B30C10"/>
    <w:rsid w:val="18E4264B"/>
    <w:rsid w:val="18F94399"/>
    <w:rsid w:val="19CD0042"/>
    <w:rsid w:val="1A2868F5"/>
    <w:rsid w:val="1B2B4766"/>
    <w:rsid w:val="1B7D3BC2"/>
    <w:rsid w:val="1D6073A9"/>
    <w:rsid w:val="1D7555AF"/>
    <w:rsid w:val="1DD9707A"/>
    <w:rsid w:val="1DDB17FB"/>
    <w:rsid w:val="1E9511BD"/>
    <w:rsid w:val="1FE864E5"/>
    <w:rsid w:val="208A5076"/>
    <w:rsid w:val="21BC4401"/>
    <w:rsid w:val="220556BB"/>
    <w:rsid w:val="22884A05"/>
    <w:rsid w:val="236C7C03"/>
    <w:rsid w:val="246A6FF7"/>
    <w:rsid w:val="248B3114"/>
    <w:rsid w:val="24D32AB9"/>
    <w:rsid w:val="24D43B95"/>
    <w:rsid w:val="25113BF1"/>
    <w:rsid w:val="253A246C"/>
    <w:rsid w:val="25BD0469"/>
    <w:rsid w:val="25C048C7"/>
    <w:rsid w:val="25D655D1"/>
    <w:rsid w:val="25FC6684"/>
    <w:rsid w:val="26430DED"/>
    <w:rsid w:val="267C30D5"/>
    <w:rsid w:val="2D8F545C"/>
    <w:rsid w:val="2DAC7018"/>
    <w:rsid w:val="2F507D2C"/>
    <w:rsid w:val="32911E02"/>
    <w:rsid w:val="338F2383"/>
    <w:rsid w:val="347F4E66"/>
    <w:rsid w:val="35DF1FAE"/>
    <w:rsid w:val="35F461C0"/>
    <w:rsid w:val="36CE6D51"/>
    <w:rsid w:val="374C62C8"/>
    <w:rsid w:val="398556DC"/>
    <w:rsid w:val="3AEE2F30"/>
    <w:rsid w:val="3BC20A51"/>
    <w:rsid w:val="3C365EE9"/>
    <w:rsid w:val="3D6078DB"/>
    <w:rsid w:val="3DE83766"/>
    <w:rsid w:val="3E357839"/>
    <w:rsid w:val="3FF77441"/>
    <w:rsid w:val="40707320"/>
    <w:rsid w:val="4163361D"/>
    <w:rsid w:val="42780119"/>
    <w:rsid w:val="427F0E5D"/>
    <w:rsid w:val="42CC5625"/>
    <w:rsid w:val="47987880"/>
    <w:rsid w:val="48224DAB"/>
    <w:rsid w:val="49AA085A"/>
    <w:rsid w:val="49E27684"/>
    <w:rsid w:val="4A1F2366"/>
    <w:rsid w:val="4A686320"/>
    <w:rsid w:val="4ABD16FD"/>
    <w:rsid w:val="4ADC08C7"/>
    <w:rsid w:val="4D0F0ADB"/>
    <w:rsid w:val="4D8F3917"/>
    <w:rsid w:val="4D9F3C41"/>
    <w:rsid w:val="4DDC7179"/>
    <w:rsid w:val="4E6178D7"/>
    <w:rsid w:val="4ECD292C"/>
    <w:rsid w:val="516E1AB0"/>
    <w:rsid w:val="53036147"/>
    <w:rsid w:val="55A96EB6"/>
    <w:rsid w:val="576639AF"/>
    <w:rsid w:val="57D8599B"/>
    <w:rsid w:val="57F11C90"/>
    <w:rsid w:val="58C709C7"/>
    <w:rsid w:val="59E53934"/>
    <w:rsid w:val="5AC855D1"/>
    <w:rsid w:val="5BC72632"/>
    <w:rsid w:val="5CD530DD"/>
    <w:rsid w:val="5E011291"/>
    <w:rsid w:val="5F3C5A50"/>
    <w:rsid w:val="5FAA3AFF"/>
    <w:rsid w:val="5FD32BC0"/>
    <w:rsid w:val="608C3047"/>
    <w:rsid w:val="60BC64BA"/>
    <w:rsid w:val="621208C4"/>
    <w:rsid w:val="64B63930"/>
    <w:rsid w:val="65035E58"/>
    <w:rsid w:val="66A1736D"/>
    <w:rsid w:val="693904AE"/>
    <w:rsid w:val="69FC553A"/>
    <w:rsid w:val="6C953C26"/>
    <w:rsid w:val="6D0C14E7"/>
    <w:rsid w:val="6F6E6976"/>
    <w:rsid w:val="6F927898"/>
    <w:rsid w:val="6FBA4418"/>
    <w:rsid w:val="73130FCF"/>
    <w:rsid w:val="734E1468"/>
    <w:rsid w:val="73A2151E"/>
    <w:rsid w:val="74F035CC"/>
    <w:rsid w:val="75685890"/>
    <w:rsid w:val="757D61B4"/>
    <w:rsid w:val="7620778A"/>
    <w:rsid w:val="76FD4773"/>
    <w:rsid w:val="78822DFA"/>
    <w:rsid w:val="79045A52"/>
    <w:rsid w:val="7A475FE2"/>
    <w:rsid w:val="7A5C56EE"/>
    <w:rsid w:val="7A764D71"/>
    <w:rsid w:val="7BBA1C34"/>
    <w:rsid w:val="7C8B67E2"/>
    <w:rsid w:val="7CA10985"/>
    <w:rsid w:val="7CBA1A82"/>
    <w:rsid w:val="7D450CEE"/>
    <w:rsid w:val="7E2474A5"/>
    <w:rsid w:val="7E8024AF"/>
    <w:rsid w:val="7EDB4E83"/>
    <w:rsid w:val="7F375D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uiPriority="99"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6"/>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rPr>
      <w:b/>
      <w:bCs/>
    </w:rPr>
  </w:style>
  <w:style w:type="paragraph" w:styleId="20">
    <w:name w:val="Document Map"/>
    <w:basedOn w:val="1"/>
    <w:link w:val="75"/>
    <w:qFormat/>
    <w:uiPriority w:val="99"/>
    <w:rPr>
      <w:rFonts w:ascii="Tahoma" w:hAnsi="Tahoma"/>
      <w:sz w:val="16"/>
      <w:szCs w:val="16"/>
    </w:rPr>
  </w:style>
  <w:style w:type="paragraph" w:styleId="21">
    <w:name w:val="annotation text"/>
    <w:basedOn w:val="1"/>
    <w:link w:val="77"/>
    <w:qFormat/>
    <w:uiPriority w:val="99"/>
  </w:style>
  <w:style w:type="paragraph" w:styleId="22">
    <w:name w:val="Body Text"/>
    <w:basedOn w:val="1"/>
    <w:link w:val="87"/>
    <w:qFormat/>
    <w:uiPriority w:val="0"/>
    <w:pPr>
      <w:spacing w:after="120"/>
    </w:pPr>
    <w:rPr>
      <w:rFonts w:ascii="Times New Roman" w:hAnsi="Times New Roman" w:eastAsia="MS Mincho"/>
      <w:szCs w:val="24"/>
      <w:lang w:val="en-US"/>
    </w:rPr>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99"/>
    <w:pPr>
      <w:spacing w:before="180"/>
      <w:ind w:left="2693" w:hanging="2693"/>
    </w:pPr>
    <w:rPr>
      <w:b/>
    </w:rPr>
  </w:style>
  <w:style w:type="paragraph" w:styleId="26">
    <w:name w:val="Balloon Text"/>
    <w:basedOn w:val="1"/>
    <w:link w:val="74"/>
    <w:qFormat/>
    <w:uiPriority w:val="99"/>
    <w:pPr>
      <w:spacing w:after="0"/>
    </w:pPr>
    <w:rPr>
      <w:rFonts w:ascii="Segoe UI" w:hAnsi="Segoe UI"/>
      <w:sz w:val="18"/>
      <w:szCs w:val="18"/>
    </w:rPr>
  </w:style>
  <w:style w:type="paragraph" w:styleId="27">
    <w:name w:val="footer"/>
    <w:basedOn w:val="28"/>
    <w:qFormat/>
    <w:uiPriority w:val="99"/>
    <w:pPr>
      <w:jc w:val="center"/>
    </w:pPr>
    <w:rPr>
      <w:i/>
    </w:rPr>
  </w:style>
  <w:style w:type="paragraph" w:styleId="28">
    <w:name w:val="header"/>
    <w:basedOn w:val="1"/>
    <w:link w:val="71"/>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9">
    <w:name w:val="toc 9"/>
    <w:basedOn w:val="25"/>
    <w:next w:val="1"/>
    <w:semiHidden/>
    <w:qFormat/>
    <w:uiPriority w:val="99"/>
    <w:pPr>
      <w:ind w:left="1418" w:hanging="1418"/>
    </w:pPr>
  </w:style>
  <w:style w:type="paragraph" w:styleId="30">
    <w:name w:val="annotation subject"/>
    <w:basedOn w:val="21"/>
    <w:next w:val="21"/>
    <w:link w:val="78"/>
    <w:qFormat/>
    <w:uiPriority w:val="99"/>
    <w:rPr>
      <w:b/>
      <w:bCs/>
    </w:rPr>
  </w:style>
  <w:style w:type="table" w:styleId="32">
    <w:name w:val="Table Grid"/>
    <w:basedOn w:val="31"/>
    <w:qFormat/>
    <w:uiPriority w:val="39"/>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Hyperlink"/>
    <w:qFormat/>
    <w:uiPriority w:val="99"/>
    <w:rPr>
      <w:color w:val="0000FF"/>
      <w:u w:val="single"/>
    </w:rPr>
  </w:style>
  <w:style w:type="character" w:styleId="35">
    <w:name w:val="annotation reference"/>
    <w:qFormat/>
    <w:uiPriority w:val="99"/>
    <w:rPr>
      <w:sz w:val="21"/>
      <w:szCs w:val="21"/>
    </w:rPr>
  </w:style>
  <w:style w:type="paragraph" w:customStyle="1" w:styleId="36">
    <w:name w:val="EQ"/>
    <w:basedOn w:val="1"/>
    <w:next w:val="1"/>
    <w:qFormat/>
    <w:uiPriority w:val="99"/>
    <w:pPr>
      <w:keepLines/>
      <w:tabs>
        <w:tab w:val="center" w:pos="4536"/>
        <w:tab w:val="right" w:pos="9072"/>
      </w:tabs>
    </w:pPr>
  </w:style>
  <w:style w:type="character" w:customStyle="1" w:styleId="37">
    <w:name w:val="ZGSM"/>
    <w:qFormat/>
    <w:uiPriority w:val="0"/>
  </w:style>
  <w:style w:type="paragraph" w:customStyle="1" w:styleId="38">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link w:val="94"/>
    <w:qFormat/>
    <w:uiPriority w:val="0"/>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link w:val="98"/>
    <w:qFormat/>
    <w:uiPriority w:val="0"/>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24"/>
    <w:link w:val="85"/>
    <w:qFormat/>
    <w:uiPriority w:val="0"/>
    <w:pPr>
      <w:ind w:left="568" w:hanging="284"/>
    </w:pPr>
  </w:style>
  <w:style w:type="paragraph" w:customStyle="1" w:styleId="53">
    <w:name w:val="Editor's Note"/>
    <w:basedOn w:val="41"/>
    <w:link w:val="90"/>
    <w:qFormat/>
    <w:uiPriority w:val="0"/>
    <w:rPr>
      <w:color w:val="FF0000"/>
    </w:rPr>
  </w:style>
  <w:style w:type="paragraph" w:customStyle="1" w:styleId="54">
    <w:name w:val="TH"/>
    <w:basedOn w:val="1"/>
    <w:qFormat/>
    <w:uiPriority w:val="99"/>
    <w:pPr>
      <w:keepNext/>
      <w:keepLines/>
      <w:spacing w:before="60"/>
      <w:jc w:val="center"/>
    </w:pPr>
    <w:rPr>
      <w:b/>
    </w:rPr>
  </w:style>
  <w:style w:type="paragraph" w:customStyle="1" w:styleId="55">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99"/>
    <w:pPr>
      <w:ind w:left="851" w:hanging="851"/>
    </w:pPr>
  </w:style>
  <w:style w:type="paragraph" w:customStyle="1" w:styleId="60">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99"/>
    <w:pPr>
      <w:keepNext w:val="0"/>
      <w:spacing w:before="0" w:after="240"/>
    </w:pPr>
  </w:style>
  <w:style w:type="paragraph" w:customStyle="1" w:styleId="62">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23"/>
    <w:link w:val="92"/>
    <w:qFormat/>
    <w:uiPriority w:val="0"/>
    <w:pPr>
      <w:ind w:left="851" w:hanging="284"/>
    </w:pPr>
  </w:style>
  <w:style w:type="paragraph" w:customStyle="1" w:styleId="64">
    <w:name w:val="B3"/>
    <w:basedOn w:val="1"/>
    <w:link w:val="96"/>
    <w:qFormat/>
    <w:uiPriority w:val="0"/>
    <w:pPr>
      <w:ind w:left="1135" w:hanging="284"/>
    </w:pPr>
  </w:style>
  <w:style w:type="paragraph" w:customStyle="1" w:styleId="65">
    <w:name w:val="B4"/>
    <w:basedOn w:val="1"/>
    <w:link w:val="97"/>
    <w:qFormat/>
    <w:uiPriority w:val="0"/>
    <w:pPr>
      <w:ind w:left="1418" w:hanging="284"/>
    </w:pPr>
  </w:style>
  <w:style w:type="paragraph" w:customStyle="1" w:styleId="66">
    <w:name w:val="B5"/>
    <w:basedOn w:val="1"/>
    <w:qFormat/>
    <w:uiPriority w:val="99"/>
    <w:pPr>
      <w:ind w:left="1702" w:hanging="284"/>
    </w:pPr>
  </w:style>
  <w:style w:type="paragraph" w:customStyle="1" w:styleId="67">
    <w:name w:val="ZTD"/>
    <w:basedOn w:val="56"/>
    <w:qFormat/>
    <w:uiPriority w:val="99"/>
    <w:pPr>
      <w:framePr w:hRule="auto" w:y="852"/>
    </w:pPr>
    <w:rPr>
      <w:i w:val="0"/>
      <w:sz w:val="40"/>
    </w:rPr>
  </w:style>
  <w:style w:type="paragraph" w:customStyle="1" w:styleId="68">
    <w:name w:val="ZV"/>
    <w:basedOn w:val="58"/>
    <w:qFormat/>
    <w:uiPriority w:val="99"/>
    <w:pPr>
      <w:framePr w:y="16161"/>
    </w:pPr>
  </w:style>
  <w:style w:type="paragraph" w:customStyle="1" w:styleId="69">
    <w:name w:val="TAJ"/>
    <w:basedOn w:val="54"/>
    <w:qFormat/>
    <w:uiPriority w:val="99"/>
  </w:style>
  <w:style w:type="paragraph" w:customStyle="1" w:styleId="70">
    <w:name w:val="Guidance"/>
    <w:basedOn w:val="1"/>
    <w:qFormat/>
    <w:uiPriority w:val="99"/>
    <w:rPr>
      <w:i/>
      <w:color w:val="0000FF"/>
    </w:rPr>
  </w:style>
  <w:style w:type="character" w:customStyle="1" w:styleId="71">
    <w:name w:val="页眉 Char"/>
    <w:link w:val="28"/>
    <w:qFormat/>
    <w:uiPriority w:val="99"/>
    <w:rPr>
      <w:rFonts w:ascii="Arial" w:hAnsi="Arial"/>
      <w:b/>
      <w:sz w:val="18"/>
      <w:lang w:val="en-GB" w:eastAsia="ja-JP" w:bidi="ar-SA"/>
    </w:rPr>
  </w:style>
  <w:style w:type="paragraph" w:customStyle="1" w:styleId="72">
    <w:name w:val="CR Cover Page"/>
    <w:qFormat/>
    <w:uiPriority w:val="99"/>
    <w:pPr>
      <w:spacing w:after="120"/>
    </w:pPr>
    <w:rPr>
      <w:rFonts w:ascii="Arial" w:hAnsi="Arial" w:eastAsia="MS Mincho" w:cs="Times New Roman"/>
      <w:lang w:val="en-GB" w:eastAsia="en-US" w:bidi="ar-SA"/>
    </w:rPr>
  </w:style>
  <w:style w:type="paragraph" w:customStyle="1" w:styleId="73">
    <w:name w:val="00 BodyText"/>
    <w:basedOn w:val="1"/>
    <w:qFormat/>
    <w:uiPriority w:val="99"/>
    <w:pPr>
      <w:spacing w:after="220"/>
    </w:pPr>
    <w:rPr>
      <w:sz w:val="22"/>
      <w:lang w:val="en-US"/>
    </w:rPr>
  </w:style>
  <w:style w:type="character" w:customStyle="1" w:styleId="74">
    <w:name w:val="批注框文本 Char"/>
    <w:link w:val="26"/>
    <w:qFormat/>
    <w:uiPriority w:val="99"/>
    <w:rPr>
      <w:rFonts w:ascii="Segoe UI" w:hAnsi="Segoe UI" w:eastAsia="Arial Unicode MS"/>
      <w:sz w:val="18"/>
      <w:szCs w:val="18"/>
      <w:lang w:val="en-GB"/>
    </w:rPr>
  </w:style>
  <w:style w:type="character" w:customStyle="1" w:styleId="75">
    <w:name w:val="文档结构图 Char"/>
    <w:link w:val="20"/>
    <w:qFormat/>
    <w:uiPriority w:val="99"/>
    <w:rPr>
      <w:rFonts w:ascii="Tahoma" w:hAnsi="Tahoma" w:eastAsia="Arial Unicode MS"/>
      <w:sz w:val="16"/>
      <w:szCs w:val="16"/>
      <w:lang w:val="en-GB"/>
    </w:rPr>
  </w:style>
  <w:style w:type="character" w:customStyle="1" w:styleId="76">
    <w:name w:val="标题 2 Char"/>
    <w:link w:val="3"/>
    <w:qFormat/>
    <w:uiPriority w:val="1"/>
    <w:rPr>
      <w:rFonts w:ascii="Arial" w:hAnsi="Arial"/>
      <w:sz w:val="32"/>
      <w:lang w:val="en-GB" w:eastAsia="en-US"/>
    </w:rPr>
  </w:style>
  <w:style w:type="character" w:customStyle="1" w:styleId="77">
    <w:name w:val="批注文字 Char"/>
    <w:link w:val="21"/>
    <w:qFormat/>
    <w:uiPriority w:val="99"/>
    <w:rPr>
      <w:rFonts w:ascii="Arial" w:hAnsi="Arial" w:eastAsia="Arial Unicode MS"/>
      <w:lang w:val="en-GB" w:eastAsia="en-US"/>
    </w:rPr>
  </w:style>
  <w:style w:type="character" w:customStyle="1" w:styleId="78">
    <w:name w:val="批注主题 Char"/>
    <w:link w:val="30"/>
    <w:qFormat/>
    <w:uiPriority w:val="99"/>
    <w:rPr>
      <w:rFonts w:ascii="Arial" w:hAnsi="Arial" w:eastAsia="Arial Unicode MS"/>
      <w:b/>
      <w:bCs/>
      <w:lang w:val="en-GB" w:eastAsia="en-US"/>
    </w:rPr>
  </w:style>
  <w:style w:type="paragraph" w:customStyle="1" w:styleId="79">
    <w:name w:val="彩色底纹 - 强调文字颜色 11"/>
    <w:hidden/>
    <w:qFormat/>
    <w:uiPriority w:val="71"/>
    <w:rPr>
      <w:rFonts w:ascii="Times New Roman" w:hAnsi="Times New Roman" w:eastAsia="宋体" w:cs="Times New Roman"/>
      <w:lang w:val="en-GB" w:eastAsia="en-US" w:bidi="ar-SA"/>
    </w:rPr>
  </w:style>
  <w:style w:type="character" w:styleId="80">
    <w:name w:val="Placeholder Text"/>
    <w:semiHidden/>
    <w:qFormat/>
    <w:uiPriority w:val="99"/>
    <w:rPr>
      <w:color w:val="808080"/>
    </w:rPr>
  </w:style>
  <w:style w:type="paragraph" w:styleId="81">
    <w:name w:val="List Paragraph"/>
    <w:basedOn w:val="1"/>
    <w:link w:val="88"/>
    <w:qFormat/>
    <w:uiPriority w:val="34"/>
    <w:pPr>
      <w:ind w:left="720"/>
      <w:contextualSpacing/>
    </w:pPr>
  </w:style>
  <w:style w:type="character" w:customStyle="1" w:styleId="82">
    <w:name w:val="Doc-text2 Char"/>
    <w:link w:val="83"/>
    <w:qFormat/>
    <w:locked/>
    <w:uiPriority w:val="0"/>
    <w:rPr>
      <w:rFonts w:ascii="Arial" w:hAnsi="Arial" w:eastAsia="MS Mincho" w:cs="Arial"/>
      <w:szCs w:val="24"/>
      <w:lang w:val="en-GB" w:eastAsia="en-GB"/>
    </w:rPr>
  </w:style>
  <w:style w:type="paragraph" w:customStyle="1" w:styleId="83">
    <w:name w:val="Doc-text2"/>
    <w:basedOn w:val="1"/>
    <w:link w:val="82"/>
    <w:qFormat/>
    <w:uiPriority w:val="0"/>
    <w:pPr>
      <w:tabs>
        <w:tab w:val="left" w:pos="1622"/>
      </w:tabs>
      <w:spacing w:after="0"/>
      <w:ind w:left="1622" w:hanging="363"/>
      <w:jc w:val="left"/>
    </w:pPr>
    <w:rPr>
      <w:rFonts w:eastAsia="MS Mincho"/>
      <w:szCs w:val="24"/>
      <w:lang w:eastAsia="en-GB"/>
    </w:rPr>
  </w:style>
  <w:style w:type="paragraph" w:customStyle="1" w:styleId="84">
    <w:name w:val="Revision"/>
    <w:hidden/>
    <w:semiHidden/>
    <w:qFormat/>
    <w:uiPriority w:val="99"/>
    <w:rPr>
      <w:rFonts w:ascii="Arial" w:hAnsi="Arial" w:eastAsia="Arial Unicode MS" w:cs="Times New Roman"/>
      <w:lang w:val="en-GB" w:eastAsia="en-US" w:bidi="ar-SA"/>
    </w:rPr>
  </w:style>
  <w:style w:type="character" w:customStyle="1" w:styleId="85">
    <w:name w:val="B1 Char"/>
    <w:link w:val="52"/>
    <w:qFormat/>
    <w:uiPriority w:val="0"/>
    <w:rPr>
      <w:rFonts w:ascii="Arial" w:hAnsi="Arial" w:eastAsia="Arial Unicode MS"/>
      <w:lang w:val="en-GB" w:eastAsia="en-US"/>
    </w:rPr>
  </w:style>
  <w:style w:type="paragraph" w:customStyle="1" w:styleId="86">
    <w:name w:val="Agreement"/>
    <w:basedOn w:val="1"/>
    <w:next w:val="83"/>
    <w:qFormat/>
    <w:uiPriority w:val="99"/>
    <w:pPr>
      <w:numPr>
        <w:ilvl w:val="0"/>
        <w:numId w:val="2"/>
      </w:numPr>
      <w:spacing w:before="60" w:after="0"/>
      <w:jc w:val="left"/>
    </w:pPr>
    <w:rPr>
      <w:rFonts w:eastAsia="MS Mincho"/>
      <w:b/>
      <w:szCs w:val="24"/>
      <w:lang w:eastAsia="en-GB"/>
    </w:rPr>
  </w:style>
  <w:style w:type="character" w:customStyle="1" w:styleId="87">
    <w:name w:val="正文文本 Char"/>
    <w:basedOn w:val="33"/>
    <w:link w:val="22"/>
    <w:qFormat/>
    <w:uiPriority w:val="0"/>
    <w:rPr>
      <w:rFonts w:eastAsia="MS Mincho"/>
      <w:szCs w:val="24"/>
      <w:lang w:eastAsia="en-US"/>
    </w:rPr>
  </w:style>
  <w:style w:type="character" w:customStyle="1" w:styleId="88">
    <w:name w:val="列出段落 Char"/>
    <w:link w:val="81"/>
    <w:qFormat/>
    <w:locked/>
    <w:uiPriority w:val="34"/>
    <w:rPr>
      <w:rFonts w:ascii="Arial" w:hAnsi="Arial" w:eastAsia="Arial Unicode MS"/>
      <w:lang w:val="en-GB" w:eastAsia="en-US"/>
    </w:rPr>
  </w:style>
  <w:style w:type="character" w:customStyle="1" w:styleId="89">
    <w:name w:val="apple-converted-space"/>
    <w:basedOn w:val="33"/>
    <w:qFormat/>
    <w:uiPriority w:val="0"/>
  </w:style>
  <w:style w:type="character" w:customStyle="1" w:styleId="90">
    <w:name w:val="Editor's Note Char"/>
    <w:link w:val="53"/>
    <w:qFormat/>
    <w:uiPriority w:val="0"/>
    <w:rPr>
      <w:rFonts w:ascii="Arial" w:hAnsi="Arial" w:eastAsia="Arial Unicode MS"/>
      <w:color w:val="FF0000"/>
      <w:lang w:val="en-GB" w:eastAsia="en-US"/>
    </w:rPr>
  </w:style>
  <w:style w:type="character" w:customStyle="1" w:styleId="91">
    <w:name w:val="B1 Char1"/>
    <w:qFormat/>
    <w:uiPriority w:val="0"/>
    <w:rPr>
      <w:rFonts w:eastAsia="MS LineDraw"/>
      <w:lang w:val="en-GB" w:eastAsia="ja-JP" w:bidi="ar-SA"/>
    </w:rPr>
  </w:style>
  <w:style w:type="character" w:customStyle="1" w:styleId="92">
    <w:name w:val="B2 Car"/>
    <w:link w:val="63"/>
    <w:qFormat/>
    <w:uiPriority w:val="0"/>
    <w:rPr>
      <w:rFonts w:ascii="Arial" w:hAnsi="Arial" w:eastAsia="Arial Unicode MS"/>
      <w:lang w:val="en-GB" w:eastAsia="en-US"/>
    </w:rPr>
  </w:style>
  <w:style w:type="character" w:customStyle="1" w:styleId="93">
    <w:name w:val="B1 Zchn"/>
    <w:qFormat/>
    <w:locked/>
    <w:uiPriority w:val="0"/>
    <w:rPr>
      <w:rFonts w:ascii="Times New Roman" w:hAnsi="Times New Roman" w:eastAsia="Times New Roman"/>
      <w:lang w:val="zh-CN" w:eastAsia="zh-CN"/>
    </w:rPr>
  </w:style>
  <w:style w:type="character" w:customStyle="1" w:styleId="94">
    <w:name w:val="NO Zchn"/>
    <w:link w:val="41"/>
    <w:qFormat/>
    <w:uiPriority w:val="0"/>
    <w:rPr>
      <w:rFonts w:ascii="Arial" w:hAnsi="Arial" w:eastAsia="Arial Unicode MS"/>
      <w:lang w:val="en-GB" w:eastAsia="en-US"/>
    </w:rPr>
  </w:style>
  <w:style w:type="character" w:customStyle="1" w:styleId="95">
    <w:name w:val="B2 Char"/>
    <w:qFormat/>
    <w:uiPriority w:val="0"/>
    <w:rPr>
      <w:rFonts w:ascii="Times New Roman" w:hAnsi="Times New Roman" w:eastAsia="MS Mincho"/>
      <w:lang w:val="en-GB" w:eastAsia="en-US"/>
    </w:rPr>
  </w:style>
  <w:style w:type="character" w:customStyle="1" w:styleId="96">
    <w:name w:val="B3 Char"/>
    <w:link w:val="64"/>
    <w:qFormat/>
    <w:locked/>
    <w:uiPriority w:val="0"/>
    <w:rPr>
      <w:rFonts w:ascii="Arial" w:hAnsi="Arial" w:eastAsia="Arial Unicode MS"/>
      <w:lang w:val="en-GB" w:eastAsia="en-US"/>
    </w:rPr>
  </w:style>
  <w:style w:type="character" w:customStyle="1" w:styleId="97">
    <w:name w:val="B4 Char"/>
    <w:link w:val="65"/>
    <w:qFormat/>
    <w:locked/>
    <w:uiPriority w:val="0"/>
    <w:rPr>
      <w:rFonts w:ascii="Arial" w:hAnsi="Arial" w:eastAsia="Arial Unicode MS"/>
      <w:lang w:val="en-GB" w:eastAsia="en-US"/>
    </w:rPr>
  </w:style>
  <w:style w:type="character" w:customStyle="1" w:styleId="98">
    <w:name w:val="TAL Car"/>
    <w:link w:val="44"/>
    <w:qFormat/>
    <w:uiPriority w:val="0"/>
    <w:rPr>
      <w:rFonts w:ascii="Arial" w:hAnsi="Arial" w:eastAsia="Arial Unicode MS"/>
      <w:sz w:val="18"/>
      <w:lang w:val="en-GB" w:eastAsia="en-US"/>
    </w:rPr>
  </w:style>
  <w:style w:type="table" w:customStyle="1" w:styleId="99">
    <w:name w:val="TableGrid1"/>
    <w:basedOn w:val="31"/>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CD420-4EE3-4904-82D1-56EB15ADE41B}">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3</Pages>
  <Words>737</Words>
  <Characters>3759</Characters>
  <Lines>38</Lines>
  <Paragraphs>10</Paragraphs>
  <TotalTime>0</TotalTime>
  <ScaleCrop>false</ScaleCrop>
  <LinksUpToDate>false</LinksUpToDate>
  <CharactersWithSpaces>4535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2022-11-04T08:34:00Z</dcterms:created>
  <dc:creator>CMCC</dc:creator>
  <cp:lastModifiedBy>renjianyang</cp:lastModifiedBy>
  <cp:lastPrinted>2016-01-11T02:35:00Z</cp:lastPrinted>
  <dcterms:modified xsi:type="dcterms:W3CDTF">2023-09-28T02:43:33Z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09809AFD5C814214AD9B27874402CBCC_13</vt:lpwstr>
  </property>
</Properties>
</file>